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1C29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 xml:space="preserve">Edital de 1° e 2° leilão de bem imóvel e para intimação de Casa do Fazendeiro Ltda, Maria Elizabeth Daher Teixeira, Maurício Lúcio Daher Teixeira, bem como de Moises Nataliano Daher Teixeira, Atta-kill Indústria e Comércio de Defensivos Agrícolas Ltda., Walter Fuscaldi Teixeira, Renata Andreata Teixeira, expedido nos autos da ação de monitória, que lhe requer Syngenta Proteção de Cultivos Ltda, Carta </w:t>
      </w:r>
      <w:r w:rsidR="00501771" w:rsidRPr="006A60D4">
        <w:rPr>
          <w:rFonts w:ascii="Verdana" w:hAnsi="Verdana"/>
          <w:sz w:val="24"/>
          <w:szCs w:val="24"/>
        </w:rPr>
        <w:t>Precatória</w:t>
      </w:r>
      <w:r w:rsidRPr="006A60D4">
        <w:rPr>
          <w:rFonts w:ascii="Verdana" w:hAnsi="Verdana"/>
          <w:sz w:val="24"/>
          <w:szCs w:val="24"/>
        </w:rPr>
        <w:t xml:space="preserve"> 5011797-68.2022.8.13.0521, Processo n° 0077906-43.2012.8.26.010</w:t>
      </w:r>
      <w:r w:rsidR="006A60D4">
        <w:rPr>
          <w:rFonts w:ascii="Verdana" w:hAnsi="Verdana"/>
          <w:sz w:val="24"/>
          <w:szCs w:val="24"/>
        </w:rPr>
        <w:t>0</w:t>
      </w:r>
    </w:p>
    <w:p w14:paraId="63465391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>A Dra. Laura de Mattos Almeida, Juiz de Direito da 29ª Vara Cível do Foro de Central, do Estado de São Paulo, na forma da lei, etc...</w:t>
      </w:r>
    </w:p>
    <w:p w14:paraId="1C00D97D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>Faz Saber que o Leiloeira Oficial, Sra. Dagmar Conceição de Souza Flores, JUCESP 901, levará a leilão público para venda e arrematação, no local e hora descritos no site, com transmissão pela internet e disponibilização imediata no portal de leilões eletrônicos, </w:t>
      </w:r>
      <w:hyperlink r:id="rId4" w:history="1">
        <w:r w:rsidRPr="006A60D4">
          <w:rPr>
            <w:rStyle w:val="Hyperlink"/>
            <w:rFonts w:ascii="Verdana" w:hAnsi="Verdana"/>
            <w:sz w:val="24"/>
            <w:szCs w:val="24"/>
          </w:rPr>
          <w:t>www.leilaobrasil.com.br</w:t>
        </w:r>
      </w:hyperlink>
      <w:r w:rsidRPr="006A60D4">
        <w:rPr>
          <w:rFonts w:ascii="Verdana" w:hAnsi="Verdana"/>
          <w:sz w:val="24"/>
          <w:szCs w:val="24"/>
        </w:rPr>
        <w:t>.</w:t>
      </w:r>
    </w:p>
    <w:p w14:paraId="67A454E4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 xml:space="preserve">Do Início e encerramento do Leilão: Início do 1° leilão em </w:t>
      </w:r>
      <w:r w:rsidR="004862F8">
        <w:rPr>
          <w:rFonts w:ascii="Verdana" w:hAnsi="Verdana"/>
          <w:sz w:val="24"/>
          <w:szCs w:val="24"/>
        </w:rPr>
        <w:t>19/11</w:t>
      </w:r>
      <w:r w:rsidR="0062651F" w:rsidRPr="006A60D4">
        <w:rPr>
          <w:rFonts w:ascii="Verdana" w:hAnsi="Verdana"/>
          <w:sz w:val="24"/>
          <w:szCs w:val="24"/>
        </w:rPr>
        <w:t>/2026</w:t>
      </w:r>
      <w:r w:rsidRPr="006A60D4">
        <w:rPr>
          <w:rFonts w:ascii="Verdana" w:hAnsi="Verdana"/>
          <w:sz w:val="24"/>
          <w:szCs w:val="24"/>
        </w:rPr>
        <w:t xml:space="preserve"> às 10:</w:t>
      </w:r>
      <w:r w:rsidR="00A93245">
        <w:rPr>
          <w:rFonts w:ascii="Verdana" w:hAnsi="Verdana"/>
          <w:sz w:val="24"/>
          <w:szCs w:val="24"/>
        </w:rPr>
        <w:t>07</w:t>
      </w:r>
      <w:r w:rsidRPr="006A60D4">
        <w:rPr>
          <w:rFonts w:ascii="Verdana" w:hAnsi="Verdana"/>
          <w:sz w:val="24"/>
          <w:szCs w:val="24"/>
        </w:rPr>
        <w:t xml:space="preserve"> horas e encerramento do 1° leilão em </w:t>
      </w:r>
      <w:r w:rsidR="004862F8">
        <w:rPr>
          <w:rFonts w:ascii="Verdana" w:hAnsi="Verdana"/>
          <w:sz w:val="24"/>
          <w:szCs w:val="24"/>
        </w:rPr>
        <w:t>23/11</w:t>
      </w:r>
      <w:r w:rsidR="0062651F" w:rsidRPr="006A60D4">
        <w:rPr>
          <w:rFonts w:ascii="Verdana" w:hAnsi="Verdana"/>
          <w:sz w:val="24"/>
          <w:szCs w:val="24"/>
        </w:rPr>
        <w:t>/2026</w:t>
      </w:r>
      <w:r w:rsidRPr="006A60D4">
        <w:rPr>
          <w:rFonts w:ascii="Verdana" w:hAnsi="Verdana"/>
          <w:sz w:val="24"/>
          <w:szCs w:val="24"/>
        </w:rPr>
        <w:t xml:space="preserve"> às 10:</w:t>
      </w:r>
      <w:r w:rsidR="00A93245">
        <w:rPr>
          <w:rFonts w:ascii="Verdana" w:hAnsi="Verdana"/>
          <w:sz w:val="24"/>
          <w:szCs w:val="24"/>
        </w:rPr>
        <w:t>07</w:t>
      </w:r>
      <w:r w:rsidRPr="006A60D4">
        <w:rPr>
          <w:rFonts w:ascii="Verdana" w:hAnsi="Verdana"/>
          <w:sz w:val="24"/>
          <w:szCs w:val="24"/>
        </w:rPr>
        <w:t xml:space="preserve"> horas, em não havendo lance igual ou superior ao valor da avaliação atualizada para a data supra, seguir-se-á sem interrupção o 2° leilão que se encerrará em </w:t>
      </w:r>
      <w:r w:rsidR="004862F8">
        <w:rPr>
          <w:rFonts w:ascii="Verdana" w:hAnsi="Verdana"/>
          <w:sz w:val="24"/>
          <w:szCs w:val="24"/>
        </w:rPr>
        <w:t>14/12</w:t>
      </w:r>
      <w:r w:rsidR="0062651F" w:rsidRPr="006A60D4">
        <w:rPr>
          <w:rFonts w:ascii="Verdana" w:hAnsi="Verdana"/>
          <w:sz w:val="24"/>
          <w:szCs w:val="24"/>
        </w:rPr>
        <w:t>/2026</w:t>
      </w:r>
      <w:r w:rsidRPr="006A60D4">
        <w:rPr>
          <w:rFonts w:ascii="Verdana" w:hAnsi="Verdana"/>
          <w:sz w:val="24"/>
          <w:szCs w:val="24"/>
        </w:rPr>
        <w:t xml:space="preserve"> às 10:</w:t>
      </w:r>
      <w:r w:rsidR="00A93245">
        <w:rPr>
          <w:rFonts w:ascii="Verdana" w:hAnsi="Verdana"/>
          <w:sz w:val="24"/>
          <w:szCs w:val="24"/>
        </w:rPr>
        <w:t>07</w:t>
      </w:r>
      <w:r w:rsidRPr="006A60D4">
        <w:rPr>
          <w:rFonts w:ascii="Verdana" w:hAnsi="Verdana"/>
          <w:sz w:val="24"/>
          <w:szCs w:val="24"/>
        </w:rPr>
        <w:t xml:space="preserve"> horas, não sendo aceito lances inferiores a 60% do valor da avaliação atualizada (pelos índices do TJSP), que deverá ser efetuado diretamente no sistema gestor através da internet.</w:t>
      </w:r>
    </w:p>
    <w:p w14:paraId="2659AFC8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 xml:space="preserve">Bem: Vagas de Garagens nº 01 e 02, vagas paralelas, localizadas no subsolo do Edifício Lanna Shopping, na Av. Francisco Vieira Martins, 595, palmeiras, CEP 35430-226, Ponte Nova – MG. Matrícula nº 19.878 e 19.879 </w:t>
      </w:r>
      <w:r w:rsidR="00F43F68" w:rsidRPr="006A60D4">
        <w:rPr>
          <w:rFonts w:ascii="Verdana" w:hAnsi="Verdana"/>
          <w:sz w:val="24"/>
          <w:szCs w:val="24"/>
        </w:rPr>
        <w:t xml:space="preserve">do CRI </w:t>
      </w:r>
      <w:r w:rsidRPr="006A60D4">
        <w:rPr>
          <w:rFonts w:ascii="Verdana" w:hAnsi="Verdana"/>
          <w:sz w:val="24"/>
          <w:szCs w:val="24"/>
        </w:rPr>
        <w:t>de Ponte Nova – MG. Avaliação de cada vaga R$ 90.000,00 (fevereiro de 2023)</w:t>
      </w:r>
      <w:r w:rsidR="001D4A4B">
        <w:rPr>
          <w:rFonts w:ascii="Verdana" w:hAnsi="Verdana"/>
          <w:sz w:val="24"/>
          <w:szCs w:val="24"/>
        </w:rPr>
        <w:t xml:space="preserve">. </w:t>
      </w:r>
      <w:r w:rsidRPr="006A60D4">
        <w:rPr>
          <w:rFonts w:ascii="Verdana" w:hAnsi="Verdana"/>
          <w:sz w:val="24"/>
          <w:szCs w:val="24"/>
        </w:rPr>
        <w:t>Avaliação Total de R$</w:t>
      </w:r>
      <w:r w:rsidR="001D4A4B">
        <w:rPr>
          <w:rFonts w:ascii="Verdana" w:hAnsi="Verdana"/>
          <w:sz w:val="24"/>
          <w:szCs w:val="24"/>
        </w:rPr>
        <w:t xml:space="preserve"> </w:t>
      </w:r>
      <w:r w:rsidRPr="006A60D4">
        <w:rPr>
          <w:rFonts w:ascii="Verdana" w:hAnsi="Verdana"/>
          <w:sz w:val="24"/>
          <w:szCs w:val="24"/>
        </w:rPr>
        <w:t>180.000,00</w:t>
      </w:r>
    </w:p>
    <w:p w14:paraId="59B95649" w14:textId="77777777" w:rsidR="00DB0E58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lastRenderedPageBreak/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36300510" w14:textId="77777777" w:rsidR="001D4A4B" w:rsidRPr="006A60D4" w:rsidRDefault="001D4A4B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Da venda parcial: por questão de economia processual se houver lances pela totalidade fica automaticamente cancelada a venda parcial ainda que tenha sido encerrado o lote individual como vencedor.</w:t>
      </w:r>
    </w:p>
    <w:p w14:paraId="6B3F08C8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6C40D5EB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>Da Comissão: A comissão do leiloeiro será de 5% sobre o valor da arrematação, não estando incluída no valor da arrematação e deverá ser paga diretamente ao Leiloeiro.</w:t>
      </w:r>
    </w:p>
    <w:p w14:paraId="0E5B7C8E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>Da Adjudicação: Condicionada aos termos do art. 876 e 892, § 1° do código de processo civil.</w:t>
      </w:r>
    </w:p>
    <w:p w14:paraId="66C60184" w14:textId="77777777" w:rsidR="00DB0E58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>Do pagamento: O arrematante terá o prazo de 24 horas para efetuar o pagamento da arrematação e da comissão.</w:t>
      </w:r>
    </w:p>
    <w:p w14:paraId="55350C0E" w14:textId="77777777" w:rsidR="00D25608" w:rsidRPr="00D25608" w:rsidRDefault="00D25608" w:rsidP="00D25608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D25608">
        <w:rPr>
          <w:rFonts w:ascii="Verdana" w:hAnsi="Verdana"/>
          <w:sz w:val="24"/>
          <w:szCs w:val="24"/>
        </w:rPr>
        <w:t xml:space="preserve">Do pagamento parcelado: O parcelamento da arrematação dar-se-á nos termos da Lei; Artigo 895, §2°, §7° e §8°, todos do CPC e Artigo 14 e 22 da Resolução 236/2016 do CNJ, compreendendo a ampla divulgação e transparência necessárias ao judiciário; ainda, poderá o interessado ofertar “Real Time dentro do Auditório Virtual”, valor e quantidade de parcelas diferente para cada lance ofertado as guias para pagamento das parcelas mensais deverão ser geradas pelo próprio arrematante diretamente no site do Tribunal; deverá também o interessado atentar para o disposto nos demais parágrafos do artigo 895 quanto ao valor da parcela, das garantias, </w:t>
      </w:r>
      <w:r w:rsidRPr="00D25608">
        <w:rPr>
          <w:rFonts w:ascii="Verdana" w:hAnsi="Verdana"/>
          <w:sz w:val="24"/>
          <w:szCs w:val="24"/>
        </w:rPr>
        <w:lastRenderedPageBreak/>
        <w:t>da atualização mensal das parcelas vincendas e da decisão exarada pelo MM. Juiz nos autos.</w:t>
      </w:r>
    </w:p>
    <w:p w14:paraId="6F1C4C86" w14:textId="77777777" w:rsidR="00D25608" w:rsidRPr="00D25608" w:rsidRDefault="00D25608" w:rsidP="00D25608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D25608">
        <w:rPr>
          <w:rFonts w:ascii="Verdana" w:hAnsi="Verdana"/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2BB0AFE9" w14:textId="77777777" w:rsidR="00D25608" w:rsidRPr="00D25608" w:rsidRDefault="00D25608" w:rsidP="00D25608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D25608">
        <w:rPr>
          <w:rFonts w:ascii="Verdana" w:hAnsi="Verdana"/>
          <w:sz w:val="24"/>
          <w:szCs w:val="24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 1° do código de processo civil.</w:t>
      </w:r>
    </w:p>
    <w:p w14:paraId="3459419B" w14:textId="77777777" w:rsidR="00D25608" w:rsidRPr="00D25608" w:rsidRDefault="00D25608" w:rsidP="00D25608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D25608">
        <w:rPr>
          <w:rFonts w:ascii="Verdana" w:hAnsi="Verdana"/>
          <w:sz w:val="24"/>
          <w:szCs w:val="24"/>
        </w:rPr>
        <w:t>Recursos: Dos autos consta recurso especial pendente de julgamento.</w:t>
      </w:r>
    </w:p>
    <w:p w14:paraId="5F36A77B" w14:textId="77777777" w:rsidR="00D25608" w:rsidRPr="00D25608" w:rsidRDefault="00D25608" w:rsidP="00D25608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D25608">
        <w:rPr>
          <w:rFonts w:ascii="Verdana" w:hAnsi="Verdana"/>
          <w:sz w:val="24"/>
          <w:szCs w:val="24"/>
        </w:rPr>
        <w:t>Da Carta de arrematação: A carta de arrematação será expedida pelo MM. Juiz nos termos dos art. 901 e 903 do código de processo civil.</w:t>
      </w:r>
    </w:p>
    <w:p w14:paraId="4EC40129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>Dúvidas e Esclarecimentos: pessoalmente perante o 29° Ofício Cível, ou no escritório do leiloeiro oficial, Sr. Irani Flores, Av. Gaspar Vaz da Cunha n° 258, SP - Capital, ou ainda, pelo telefone (55 11) 3965-0000 / Whats App (55 11) 95662-5151, e e-mail: </w:t>
      </w:r>
      <w:hyperlink r:id="rId5" w:history="1">
        <w:r w:rsidRPr="006A60D4">
          <w:rPr>
            <w:rStyle w:val="Hyperlink"/>
            <w:rFonts w:ascii="Verdana" w:hAnsi="Verdana"/>
            <w:sz w:val="24"/>
            <w:szCs w:val="24"/>
          </w:rPr>
          <w:t>atendimento@leilaobrasil.com.br</w:t>
        </w:r>
      </w:hyperlink>
      <w:r w:rsidRPr="006A60D4">
        <w:rPr>
          <w:rFonts w:ascii="Verdana" w:hAnsi="Verdana"/>
          <w:sz w:val="24"/>
          <w:szCs w:val="24"/>
        </w:rPr>
        <w:t>.</w:t>
      </w:r>
    </w:p>
    <w:p w14:paraId="506D55D0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6A60D4">
        <w:rPr>
          <w:rFonts w:ascii="Verdana" w:hAnsi="Verdana"/>
          <w:sz w:val="24"/>
          <w:szCs w:val="24"/>
        </w:rPr>
        <w:t xml:space="preserve"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</w:t>
      </w:r>
      <w:r w:rsidR="004862F8">
        <w:rPr>
          <w:rFonts w:ascii="Verdana" w:hAnsi="Verdana"/>
          <w:sz w:val="24"/>
          <w:szCs w:val="24"/>
        </w:rPr>
        <w:t>Ponte Nova - MG</w:t>
      </w:r>
      <w:r w:rsidRPr="006A60D4">
        <w:rPr>
          <w:rFonts w:ascii="Verdana" w:hAnsi="Verdana"/>
          <w:sz w:val="24"/>
          <w:szCs w:val="24"/>
        </w:rPr>
        <w:t xml:space="preserve">, </w:t>
      </w:r>
      <w:r w:rsidR="0062651F" w:rsidRPr="006A60D4">
        <w:rPr>
          <w:rFonts w:ascii="Verdana" w:hAnsi="Verdana"/>
          <w:sz w:val="24"/>
          <w:szCs w:val="24"/>
        </w:rPr>
        <w:t>0</w:t>
      </w:r>
      <w:r w:rsidR="004862F8">
        <w:rPr>
          <w:rFonts w:ascii="Verdana" w:hAnsi="Verdana"/>
          <w:sz w:val="24"/>
          <w:szCs w:val="24"/>
        </w:rPr>
        <w:t>9/09</w:t>
      </w:r>
      <w:r w:rsidR="0062651F" w:rsidRPr="006A60D4">
        <w:rPr>
          <w:rFonts w:ascii="Verdana" w:hAnsi="Verdana"/>
          <w:sz w:val="24"/>
          <w:szCs w:val="24"/>
        </w:rPr>
        <w:t>/2026</w:t>
      </w:r>
    </w:p>
    <w:p w14:paraId="0D81F730" w14:textId="77777777" w:rsidR="00DB0E58" w:rsidRPr="006A60D4" w:rsidRDefault="00DB0E58" w:rsidP="006A60D4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sectPr w:rsidR="00DB0E58" w:rsidRPr="006A60D4" w:rsidSect="006A60D4">
      <w:pgSz w:w="11906" w:h="16838"/>
      <w:pgMar w:top="1417" w:right="1700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E58"/>
    <w:rsid w:val="000A3A34"/>
    <w:rsid w:val="000A6960"/>
    <w:rsid w:val="001D4A4B"/>
    <w:rsid w:val="0029329A"/>
    <w:rsid w:val="004862F8"/>
    <w:rsid w:val="004E361C"/>
    <w:rsid w:val="00501771"/>
    <w:rsid w:val="0062651F"/>
    <w:rsid w:val="006A60D4"/>
    <w:rsid w:val="008A27D9"/>
    <w:rsid w:val="00932AE3"/>
    <w:rsid w:val="009B4129"/>
    <w:rsid w:val="00A93245"/>
    <w:rsid w:val="00AA656E"/>
    <w:rsid w:val="00BE036E"/>
    <w:rsid w:val="00C40194"/>
    <w:rsid w:val="00CC31D0"/>
    <w:rsid w:val="00D25608"/>
    <w:rsid w:val="00D32183"/>
    <w:rsid w:val="00DB0E58"/>
    <w:rsid w:val="00F4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15AE8"/>
  <w15:chartTrackingRefBased/>
  <w15:docId w15:val="{CF937E4C-CC69-4077-87A6-475B33A1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0E58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Hyperlink">
    <w:name w:val="Hyperlink"/>
    <w:uiPriority w:val="99"/>
    <w:unhideWhenUsed/>
    <w:rsid w:val="00DB0E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4238</Characters>
  <Application>Microsoft Office Word</Application>
  <DocSecurity>4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dcterms:created xsi:type="dcterms:W3CDTF">2026-10-02T19:41:00Z</dcterms:created>
  <dcterms:modified xsi:type="dcterms:W3CDTF">2026-10-02T19:41:00Z</dcterms:modified>
</cp:coreProperties>
</file>