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EDB7" w14:textId="77777777" w:rsidR="00EF5AC2" w:rsidRDefault="00EF5AC2" w:rsidP="00EF5AC2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43FD3553" w14:textId="77777777" w:rsidR="00EF5AC2" w:rsidRDefault="00EF5AC2" w:rsidP="00EF5AC2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3F376F2" w14:textId="77777777" w:rsidR="00EF5AC2" w:rsidRPr="003A15E9" w:rsidRDefault="00EF5AC2" w:rsidP="00EF5AC2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2udbsnvrs9b3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JUÍZO </w:t>
      </w:r>
      <w:r w:rsidRPr="003A15E9">
        <w:rPr>
          <w:rFonts w:ascii="Arial" w:eastAsia="Arial" w:hAnsi="Arial" w:cs="Arial"/>
          <w:b/>
          <w:bCs/>
          <w:sz w:val="20"/>
          <w:szCs w:val="20"/>
        </w:rPr>
        <w:t xml:space="preserve">DA UNIDADE ESTADUAL DE DIREITO BANCÁRIO DO ESTADO DE SANTA CATARINA, NA FORMA DA LEI ETC. </w:t>
      </w:r>
      <w:r w:rsidRPr="003A15E9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3A15E9">
        <w:rPr>
          <w:rFonts w:ascii="Arial" w:eastAsia="Arial" w:hAnsi="Arial" w:cs="Arial"/>
          <w:b/>
          <w:bCs/>
          <w:sz w:val="20"/>
          <w:szCs w:val="20"/>
        </w:rPr>
        <w:t xml:space="preserve"> Unidade Estadual de Direito Bancário</w:t>
      </w:r>
      <w:r w:rsidRPr="003A15E9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3A15E9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3A15E9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0E271681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C971E9F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>02/12/2026, às 14:15 horas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>dia 09/12/2026, às 14:15 horas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3A15E9">
        <w:rPr>
          <w:rFonts w:ascii="Arial" w:eastAsia="Arial" w:hAnsi="Arial" w:cs="Arial"/>
          <w:b/>
          <w:bCs/>
          <w:sz w:val="20"/>
          <w:szCs w:val="20"/>
        </w:rPr>
        <w:t>a</w:t>
      </w:r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60% da avaliação.</w:t>
      </w:r>
    </w:p>
    <w:p w14:paraId="1C7E5F61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71DC6C2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3A15E9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3A15E9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3A15E9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3A15E9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A15E9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0C5ED500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D1E1048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3A15E9">
        <w:rPr>
          <w:rFonts w:ascii="Arial" w:eastAsia="Arial" w:hAnsi="Arial" w:cs="Arial"/>
          <w:sz w:val="20"/>
          <w:szCs w:val="20"/>
        </w:rPr>
        <w:t xml:space="preserve">: </w:t>
      </w:r>
      <w:r w:rsidRPr="003A15E9">
        <w:rPr>
          <w:rFonts w:ascii="Arial" w:eastAsia="Arial" w:hAnsi="Arial" w:cs="Arial"/>
          <w:b/>
          <w:bCs/>
          <w:sz w:val="20"/>
          <w:szCs w:val="20"/>
        </w:rPr>
        <w:t>LUAN UBIALLI</w:t>
      </w:r>
      <w:r w:rsidRPr="003A15E9">
        <w:rPr>
          <w:rFonts w:ascii="Arial" w:eastAsia="Arial" w:hAnsi="Arial" w:cs="Arial"/>
          <w:sz w:val="20"/>
          <w:szCs w:val="20"/>
        </w:rPr>
        <w:t xml:space="preserve"> - matrícula 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AARC/383 / 476/RS </w:t>
      </w:r>
      <w:r w:rsidRPr="003A15E9">
        <w:rPr>
          <w:rFonts w:ascii="Arial" w:eastAsia="Arial" w:hAnsi="Arial" w:cs="Arial"/>
          <w:sz w:val="20"/>
          <w:szCs w:val="20"/>
        </w:rPr>
        <w:t xml:space="preserve">– </w:t>
      </w:r>
      <w:hyperlink r:id="rId4">
        <w:r w:rsidRPr="003A15E9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A15E9">
        <w:rPr>
          <w:rFonts w:ascii="Arial" w:eastAsia="Arial" w:hAnsi="Arial" w:cs="Arial"/>
          <w:sz w:val="20"/>
          <w:szCs w:val="20"/>
        </w:rPr>
        <w:t xml:space="preserve"> </w:t>
      </w:r>
    </w:p>
    <w:p w14:paraId="7563653B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12F88CA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3A15E9">
        <w:rPr>
          <w:rFonts w:ascii="Arial" w:eastAsia="Arial" w:hAnsi="Arial" w:cs="Arial"/>
          <w:b/>
          <w:bCs/>
          <w:sz w:val="20"/>
          <w:szCs w:val="20"/>
        </w:rPr>
        <w:t>:</w:t>
      </w:r>
      <w:r w:rsidRPr="003A15E9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179F66B5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33DF82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36125495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7843ABE5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3A15E9">
        <w:rPr>
          <w:rFonts w:ascii="Arial" w:eastAsia="Arial" w:hAnsi="Arial" w:cs="Arial"/>
          <w:b/>
          <w:bCs/>
          <w:sz w:val="20"/>
          <w:szCs w:val="20"/>
        </w:rPr>
        <w:t>:</w:t>
      </w:r>
      <w:r w:rsidRPr="003A15E9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 </w:t>
      </w:r>
    </w:p>
    <w:p w14:paraId="5726733D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91FDF85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56CEF4E4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C95A72B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743AFC60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5F0F453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3A15E9">
        <w:rPr>
          <w:rFonts w:ascii="Arial" w:eastAsia="Arial" w:hAnsi="Arial" w:cs="Arial"/>
          <w:sz w:val="20"/>
          <w:szCs w:val="20"/>
        </w:rPr>
        <w:t xml:space="preserve"> 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57D9DAF5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BB1DBCB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5149DF13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9FFBE10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032B1D58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8116EEB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</w:t>
      </w:r>
      <w:r w:rsidRPr="003A15E9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leiloeiro ou da plataforma (como velocidade de internet, qualidade da conexão, versão de navegadores, </w:t>
      </w:r>
      <w:proofErr w:type="spellStart"/>
      <w:r w:rsidRPr="003A15E9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A15E9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3FD8FED2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2B499C8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657C38D0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99C7561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24FF7B6" w14:textId="77777777" w:rsidR="00EF5AC2" w:rsidRPr="003A15E9" w:rsidRDefault="00EF5AC2" w:rsidP="00EF5AC2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0DEC30E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A15E9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3CEDC3EE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0882651F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3A15E9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3A15E9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3A15E9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3A15E9">
        <w:rPr>
          <w:rFonts w:ascii="Arial" w:eastAsia="Arial" w:hAnsi="Arial" w:cs="Arial"/>
          <w:sz w:val="20"/>
          <w:szCs w:val="20"/>
        </w:rPr>
        <w:t>(s)/detentor(e)s;</w:t>
      </w:r>
    </w:p>
    <w:p w14:paraId="0D6DF9B5" w14:textId="77777777" w:rsidR="00EF5AC2" w:rsidRPr="003A15E9" w:rsidRDefault="00EF5AC2" w:rsidP="00EF5AC2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F114502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649136AA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1EB08E7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3A15E9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3A15E9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20C14409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15BD700" w14:textId="77777777" w:rsidR="00EF5AC2" w:rsidRPr="003A15E9" w:rsidRDefault="00EF5AC2" w:rsidP="00EF5AC2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sz w:val="20"/>
          <w:szCs w:val="20"/>
        </w:rPr>
        <w:t xml:space="preserve">4ª) 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3A15E9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2B53EAA6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D5DBF5D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3A15E9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2083438E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6C36039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704F490A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CB1F8C6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42A18C63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A937E3E" w14:textId="77777777" w:rsidR="00EF5AC2" w:rsidRPr="003A15E9" w:rsidRDefault="00EF5AC2" w:rsidP="00EF5AC2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3A15E9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A15E9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175EE6EB" w14:textId="77777777" w:rsidR="00EF5AC2" w:rsidRPr="003A15E9" w:rsidRDefault="00EF5AC2" w:rsidP="00EF5AC2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2ECD8968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>01) Processo n° 0067844-31.1995.8.24.0023</w:t>
      </w:r>
    </w:p>
    <w:p w14:paraId="1E1D31ED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>Exequente(s): Banco do Brasil S.A. </w:t>
      </w:r>
    </w:p>
    <w:p w14:paraId="61110E16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Executado(s): </w:t>
      </w:r>
      <w:proofErr w:type="spellStart"/>
      <w:r w:rsidRPr="003A15E9">
        <w:rPr>
          <w:rFonts w:ascii="Arial" w:eastAsia="Arial" w:hAnsi="Arial" w:cs="Arial"/>
          <w:color w:val="000000"/>
          <w:sz w:val="20"/>
          <w:szCs w:val="20"/>
        </w:rPr>
        <w:t>Jamsul</w:t>
      </w:r>
      <w:proofErr w:type="spellEnd"/>
      <w:r w:rsidRPr="003A15E9">
        <w:rPr>
          <w:rFonts w:ascii="Arial" w:eastAsia="Arial" w:hAnsi="Arial" w:cs="Arial"/>
          <w:color w:val="000000"/>
          <w:sz w:val="20"/>
          <w:szCs w:val="20"/>
        </w:rPr>
        <w:t>-Empreendimentos Imobiliários Ltda e outros</w:t>
      </w:r>
    </w:p>
    <w:p w14:paraId="66565CA6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01 (um) terreno situado na Avenida Hercílio Luz, nº 1202, no Município de Florianópolis/SC; com a área de 246,90m², com as seguintes dimensões: 21,40 metros de frente para a mencionada Avenida e 21,40 metros nos fundos onde confronta com propriedade de Luiza </w:t>
      </w:r>
      <w:proofErr w:type="spellStart"/>
      <w:r w:rsidRPr="003A15E9">
        <w:rPr>
          <w:rFonts w:ascii="Arial" w:eastAsia="Arial" w:hAnsi="Arial" w:cs="Arial"/>
          <w:color w:val="000000"/>
          <w:sz w:val="20"/>
          <w:szCs w:val="20"/>
        </w:rPr>
        <w:t>Reinesch</w:t>
      </w:r>
      <w:proofErr w:type="spellEnd"/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 Coelho, estremando no lado esquerdo; ao Sul, na extensão de 12,20 metros com a rua Hermann Blumenau; e no lado direito ao Norte na extensão de 11,00 metros com o prédio nº 188 </w:t>
      </w:r>
      <w:r w:rsidRPr="003A15E9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da mesma Avenida Hercílio Luz; matriculado sob o nº 25.955 do 1º O.R.I. de Florianópolis/SC. Obs.: Inscrição imobiliária sob o nº 52.16.068.0413.001 na PMF. Encontra-se alugado. Funciona no local um restaurante. O bem é constituído de um terreno, com cerca de 246,90m², e uma edificação, em alvenaria, com três pavimentos, sendo que o 2º possui cerca de 291,00m², o primeiro cerca de 162,00m² e o porão cerca de 129,00m². A construção é antiga, não tendo sido possível apurar a data de construção. Possui assoalho em madeira no 2º pavimento, com claros sinais do tempo e uso, janelas com aberturas e venezianas em madeira, com dobradiças, vidro comum. Foi submetido a reforma, de modo que o forro é de PVC. O pavimento é dividido em um grande salão, com dois banheiros e uma copa. O 1º pavimento é revestido com piso cerâmico e forro em madeira, dividido em um salão, cozinha, depósito e banheiro. O imóvel encontra-se em boa conservação, apesar da idade e dos acabamentos – em sua maioria, aparentemente, preservados da construção original. Em consulta ao Geoprocessamento da Prefeitura Municipal de Florianópolis (temático: Plano Diretor), há viabilidade para 10 pavimentos. Encontra-se situado em Área Predominantemente Residencial (APR). Ônus: Penhorado nos autos nº 575/95 (2395067844.5) que tramita na Unidade de Justiça Intensiva, Poder Judiciário, Estado de Santa Catarina, nos autos nº 0004077-09.2001.8.24.0023, nº 0016382-93.1999.8.24.0023 que tramitam na Vara de Execuções Fiscais Municipais e Estaduais Comarca da Capital/SC, nos autos nº 99.00.00208-3, nº 97.00.03502-6 que tramitam Vara de Execuções Fiscais de Florianópolis/SC, nos autos nº 023.95.067844-5 que tramita na 4ª Vara cível da Comarca da Capital/SC; averbação de Tombamento do imóvel desta matrícula conforme Av-25; hipotecado em favor do Banco do Brasil S.A. (próprio exequente). Terreno avaliado em </w:t>
      </w:r>
      <w:r w:rsidRPr="003A15E9">
        <w:rPr>
          <w:rFonts w:ascii="Arial" w:eastAsia="Arial" w:hAnsi="Arial" w:cs="Arial"/>
          <w:sz w:val="20"/>
          <w:szCs w:val="20"/>
        </w:rPr>
        <w:t>R$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 3.500.000,00 e a benfeitoria avaliada em R$ 300.000,00, totalizando R$ 3.800.000,00, em 13/09/2022, corrigido </w:t>
      </w:r>
      <w:r w:rsidRPr="003A15E9">
        <w:rPr>
          <w:rFonts w:ascii="Arial" w:eastAsia="Arial" w:hAnsi="Arial" w:cs="Arial"/>
          <w:b/>
          <w:bCs/>
          <w:color w:val="000000"/>
          <w:sz w:val="20"/>
          <w:szCs w:val="20"/>
        </w:rPr>
        <w:t>R$ 4.479.650,14 (quatro milhões, quatrocentos e setenta e nove mil, seiscentos e cinquenta reais e quatorze centavos)</w:t>
      </w:r>
      <w:r w:rsidRPr="003A15E9">
        <w:rPr>
          <w:rFonts w:ascii="Arial" w:eastAsia="Arial" w:hAnsi="Arial" w:cs="Arial"/>
          <w:color w:val="000000"/>
          <w:sz w:val="20"/>
          <w:szCs w:val="20"/>
        </w:rPr>
        <w:t xml:space="preserve">, em maio de 2026. </w:t>
      </w:r>
    </w:p>
    <w:p w14:paraId="1A2D3369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 w:rsidRPr="003A15E9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Obs.: </w:t>
      </w:r>
      <w:r w:rsidRPr="003A15E9">
        <w:rPr>
          <w:rFonts w:ascii="Arial" w:eastAsia="Arial" w:hAnsi="Arial" w:cs="Arial"/>
          <w:i/>
          <w:iCs/>
          <w:sz w:val="20"/>
          <w:szCs w:val="20"/>
        </w:rPr>
        <w:t>A</w:t>
      </w:r>
      <w:r w:rsidRPr="003A15E9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porcentagem mínima para arrematação do bem corresponde a 60% (sessenta por cento) do valor de avaliação, conforme determinação do evento 446. </w:t>
      </w:r>
    </w:p>
    <w:p w14:paraId="5319F439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5BB0793" w14:textId="77777777" w:rsidR="00EF5AC2" w:rsidRPr="003A15E9" w:rsidRDefault="00EF5AC2" w:rsidP="00EF5AC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31E5637" w14:textId="77777777" w:rsidR="00EF5AC2" w:rsidRPr="003A15E9" w:rsidRDefault="00EF5AC2" w:rsidP="00EF5AC2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3A15E9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3A15E9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3A15E9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3A15E9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A15E9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3A15E9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3A15E9">
        <w:rPr>
          <w:rFonts w:ascii="Arial" w:eastAsia="Arial" w:hAnsi="Arial" w:cs="Arial"/>
          <w:sz w:val="20"/>
          <w:szCs w:val="20"/>
        </w:rPr>
        <w:t>. Florianópolis, 01 de outubro de 2026.</w:t>
      </w:r>
    </w:p>
    <w:p w14:paraId="0DDE3E38" w14:textId="77777777" w:rsidR="00EF5AC2" w:rsidRPr="003A15E9" w:rsidRDefault="00EF5AC2" w:rsidP="00EF5AC2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205B3B3" w14:textId="77777777" w:rsidR="00EF5AC2" w:rsidRPr="003A15E9" w:rsidRDefault="00EF5AC2" w:rsidP="00EF5AC2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FCBAD32" w14:textId="77777777" w:rsidR="00EF5AC2" w:rsidRPr="003A15E9" w:rsidRDefault="00EF5AC2" w:rsidP="00EF5AC2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3C048D4" w14:textId="77777777" w:rsidR="00EF5AC2" w:rsidRPr="003A15E9" w:rsidRDefault="00EF5AC2" w:rsidP="00EF5AC2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12B6DBEA" w14:textId="77777777" w:rsidR="00EF5AC2" w:rsidRDefault="00EF5AC2" w:rsidP="00EF5AC2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3A15E9">
        <w:rPr>
          <w:rFonts w:ascii="Arial" w:eastAsia="Arial" w:hAnsi="Arial" w:cs="Arial"/>
          <w:b/>
          <w:bCs/>
          <w:sz w:val="24"/>
          <w:szCs w:val="24"/>
        </w:rPr>
        <w:t xml:space="preserve">Luan </w:t>
      </w:r>
      <w:proofErr w:type="spellStart"/>
      <w:r w:rsidRPr="003A15E9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0C1F4CE5" w14:textId="77777777" w:rsidR="00EF5AC2" w:rsidRDefault="00EF5AC2" w:rsidP="00EF5AC2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</w:t>
      </w:r>
    </w:p>
    <w:p w14:paraId="09588334" w14:textId="1AA54D27" w:rsidR="009F565F" w:rsidRPr="00EF5AC2" w:rsidRDefault="00EF5AC2" w:rsidP="00EF5AC2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AARC/383 SC | 476 RS</w:t>
      </w:r>
    </w:p>
    <w:sectPr w:rsidR="009F565F" w:rsidRPr="00EF5AC2">
      <w:headerReference w:type="default" r:id="rId7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3EDB" w14:textId="77777777" w:rsidR="00791A58" w:rsidRDefault="00EF5A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6B45276" wp14:editId="6ECC4F08">
          <wp:simplePos x="0" y="0"/>
          <wp:positionH relativeFrom="column">
            <wp:posOffset>-1080132</wp:posOffset>
          </wp:positionH>
          <wp:positionV relativeFrom="paragraph">
            <wp:posOffset>-457528</wp:posOffset>
          </wp:positionV>
          <wp:extent cx="7561332" cy="106964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C2"/>
    <w:rsid w:val="009F565F"/>
    <w:rsid w:val="00EF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CD37"/>
  <w15:chartTrackingRefBased/>
  <w15:docId w15:val="{77F07E04-741D-4177-9AAA-56664392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AC2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EF5AC2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EF5AC2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1636</Words>
  <Characters>8839</Characters>
  <Application>Microsoft Office Word</Application>
  <DocSecurity>0</DocSecurity>
  <Lines>73</Lines>
  <Paragraphs>20</Paragraphs>
  <ScaleCrop>false</ScaleCrop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2026-10-02T12:36:00Z</dcterms:created>
  <dcterms:modified xsi:type="dcterms:W3CDTF">2026-10-02T12:36:00Z</dcterms:modified>
</cp:coreProperties>
</file>