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DCD49" w14:textId="2AE56F71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 xml:space="preserve">         VARA ÚNICA DA COMARCA DE RIO VERMELHO/MG</w:t>
      </w:r>
    </w:p>
    <w:p w14:paraId="30AA1202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</w:p>
    <w:p w14:paraId="42251876" w14:textId="5B704CEC" w:rsidR="00AB1030" w:rsidRPr="00A15F85" w:rsidRDefault="00AB1030" w:rsidP="00EF3A9B">
      <w:pPr>
        <w:spacing w:line="360" w:lineRule="auto"/>
        <w:jc w:val="both"/>
        <w:rPr>
          <w:rFonts w:ascii="Verdana" w:eastAsia="Times New Roman" w:hAnsi="Verdana"/>
          <w:kern w:val="0"/>
          <w:lang w:eastAsia="pt-BR"/>
        </w:rPr>
      </w:pPr>
      <w:r w:rsidRPr="00EF3A9B">
        <w:rPr>
          <w:rFonts w:ascii="Verdana" w:hAnsi="Verdana"/>
        </w:rPr>
        <w:t>Edital de 1° e 2° leilão dos direitos sobre bem móvel e para intimação de Francisco Goncalves do Espírito Santo expedido nos autos de cumprimento de senteça, que lhe requer Ministério Público - MPM., Processo nº 5000731-37.2023.8.13.0560</w:t>
      </w:r>
    </w:p>
    <w:p w14:paraId="35A3844F" w14:textId="7E43E002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A Dra. Raíssa Xavier Vidal, Juíza de Direito da Vara Única da Comarca de Rio Vermelho, Estado de Minas Gerais, na forma da lei, etc.</w:t>
      </w:r>
    </w:p>
    <w:p w14:paraId="433561E9" w14:textId="620D382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 xml:space="preserve">Faz saber que Irani Flores, Leiloeira Oficial, matriculada na JUCEMG sob nº 1285, levará a leilão público para venda e arrematação, no local e hora descritos no edital com transmissão pela internet e disponibilização imediata na plataforma de leilões eletrônicos, </w:t>
      </w:r>
      <w:hyperlink r:id="rId4" w:history="1">
        <w:r w:rsidRPr="00EF3A9B">
          <w:rPr>
            <w:rStyle w:val="Hyperlink"/>
            <w:rFonts w:ascii="Verdana" w:hAnsi="Verdana"/>
          </w:rPr>
          <w:t>www.leilaobrasil.com.br</w:t>
        </w:r>
      </w:hyperlink>
      <w:r w:rsidRPr="00EF3A9B">
        <w:rPr>
          <w:rFonts w:ascii="Verdana" w:hAnsi="Verdana"/>
        </w:rPr>
        <w:t xml:space="preserve">.  </w:t>
      </w:r>
    </w:p>
    <w:p w14:paraId="28978840" w14:textId="0CF5AA9C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Do início e encerramento do Leilão: </w:t>
      </w:r>
      <w:bookmarkStart w:id="0" w:name="_Hlk216097981"/>
      <w:r w:rsidRPr="00EF3A9B">
        <w:rPr>
          <w:rFonts w:ascii="Verdana" w:hAnsi="Verdana"/>
        </w:rPr>
        <w:t>Início do 1° leilão em  15/12/2026 às 10:4</w:t>
      </w:r>
      <w:r w:rsidR="00EF3A9B" w:rsidRPr="00EF3A9B">
        <w:rPr>
          <w:rFonts w:ascii="Verdana" w:hAnsi="Verdana"/>
        </w:rPr>
        <w:t>7</w:t>
      </w:r>
      <w:r w:rsidRPr="00EF3A9B">
        <w:rPr>
          <w:rFonts w:ascii="Verdana" w:hAnsi="Verdana"/>
        </w:rPr>
        <w:t xml:space="preserve"> horas e encerramento do 1° leilão em 18/12/2026 às 10:4</w:t>
      </w:r>
      <w:r w:rsidR="00EF3A9B" w:rsidRPr="00EF3A9B">
        <w:rPr>
          <w:rFonts w:ascii="Verdana" w:hAnsi="Verdana"/>
        </w:rPr>
        <w:t>7</w:t>
      </w:r>
      <w:r w:rsidRPr="00EF3A9B">
        <w:rPr>
          <w:rFonts w:ascii="Verdana" w:hAnsi="Verdana"/>
        </w:rPr>
        <w:t xml:space="preserve"> horas, em não havendo lance igual ou superior ao valor da avaliação para a data da abertura, seguir-se-á sem interrupção o 2° leilão que se encerrará em 20/01/2027 às 10:4</w:t>
      </w:r>
      <w:r w:rsidR="00EF3A9B" w:rsidRPr="00EF3A9B">
        <w:rPr>
          <w:rFonts w:ascii="Verdana" w:hAnsi="Verdana"/>
        </w:rPr>
        <w:t>7</w:t>
      </w:r>
      <w:r w:rsidRPr="00EF3A9B">
        <w:rPr>
          <w:rFonts w:ascii="Verdana" w:hAnsi="Verdana"/>
        </w:rPr>
        <w:t xml:space="preserve"> horas</w:t>
      </w:r>
      <w:bookmarkEnd w:id="0"/>
      <w:r w:rsidRPr="00EF3A9B">
        <w:rPr>
          <w:rFonts w:ascii="Verdana" w:hAnsi="Verdana"/>
        </w:rPr>
        <w:t xml:space="preserve">, não sendo aceito lances inferiores a </w:t>
      </w:r>
      <w:r w:rsidR="00EF3A9B" w:rsidRPr="00EF3A9B">
        <w:rPr>
          <w:rFonts w:ascii="Verdana" w:hAnsi="Verdana"/>
        </w:rPr>
        <w:t>5</w:t>
      </w:r>
      <w:r w:rsidRPr="00EF3A9B">
        <w:rPr>
          <w:rFonts w:ascii="Verdana" w:hAnsi="Verdana"/>
        </w:rPr>
        <w:t>0% do valor da avaliação atualizada pelos índices do TJSP para a data da abertura do leilão que deverá ser ofertado diretamente na plataforma através da internet.</w:t>
      </w:r>
    </w:p>
    <w:p w14:paraId="71F9F412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DO BEM: Uma grade de plantio da marca Massey Ferguson, com 16 discos hidráulicos, ano 2014, localizada na Fazenda [confirmar nome], no município de Serra Azul de Minas/MG.</w:t>
      </w:r>
    </w:p>
    <w:p w14:paraId="4CCC008E" w14:textId="479EDC24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Avaliação R$ 40.000,00 (jul/2025), conforme avaliação juntada aos autos sob ID 10551606216.</w:t>
      </w:r>
    </w:p>
    <w:p w14:paraId="3AE9C8CE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 xml:space="preserve">Quem pode ofertar lances: É permitido a todos interessados fazer lances diretamente no sistema gestor, desde que, cadastrado e habilitado com no mínimo 24 horas que antecedem o encerramento do </w:t>
      </w:r>
      <w:r w:rsidRPr="00EF3A9B">
        <w:rPr>
          <w:rFonts w:ascii="Verdana" w:hAnsi="Verdana"/>
        </w:rPr>
        <w:lastRenderedPageBreak/>
        <w:t>leilão; exceto os que se enquadrem no art. 890 do CPC ainda que cadastrados e habilitados no sistema.</w:t>
      </w:r>
    </w:p>
    <w:p w14:paraId="35C9482D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05E2A8D0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Da Comissão: A comissão do leiloeiro será de 5% sobre o valor da arrematação artigo 7° da Resolução 236/2016 do CNJ, não estando incluída no valor da arrematação e deverá ser paga diretamente à Leiloeira Oficial.</w:t>
      </w:r>
    </w:p>
    <w:p w14:paraId="6372EB75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Da Adjudicação: Condicionada aos termos do art. 876 e 892, § 1° do código de processo civil.</w:t>
      </w:r>
    </w:p>
    <w:p w14:paraId="4ABFD4AD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Do pagamento: O arrematante terá o prazo de 24 horas para efetuar o pagamento da arrematação e da comissão.</w:t>
      </w:r>
    </w:p>
    <w:p w14:paraId="3C4EBD46" w14:textId="43932EB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 xml:space="preserve">Do pagamento parcelado: O parcelamento da arrematação dar-se-á nos termos da Lei; artigo 895 do código de processo civil, “§ 2º, 7º e 8º todos do mesmo artigo. Ampla divulgação e transparência necessária a bem do processo e da Justiça no geral, art. 14 e 22 da Resolução 236/2016 do CNJ.  Será apreciado e decidido pelo MM. Juiz, § 6º, 7º e 8º do art. 895 do CPC, uma entre as propostas ofertadas na plataforma </w:t>
      </w:r>
      <w:hyperlink r:id="rId5" w:history="1">
        <w:r w:rsidRPr="00EF3A9B">
          <w:rPr>
            <w:rStyle w:val="Hyperlink"/>
            <w:rFonts w:ascii="Verdana" w:hAnsi="Verdana"/>
            <w:color w:val="0000FF"/>
          </w:rPr>
          <w:t>www.leilaobrasil.com.br</w:t>
        </w:r>
      </w:hyperlink>
      <w:r w:rsidRPr="00EF3A9B">
        <w:rPr>
          <w:rFonts w:ascii="Verdana" w:hAnsi="Verdana"/>
        </w:rPr>
        <w:t xml:space="preserve">, salvo decisão judicial adversa. No decorrer do certame os participantes poderão alterar o prazo de pagamento sem precisar alterar o valor anteriormente ofertado, desde que, não sejam inferiores ao valor corrente. O valor a ser pago à vista não poderá ser inferior a 25% do valor do lance ofertado.  O prazo do parcelamento não poderá ser superior a 30 parcelas mensais e consecutivos. O valor de cada parcela mensal não poderá ser inferior a R$ 1.000,00 devidamente atualizada pelos índices definidos pelo MM. Juiz. As guias para pagamento das parcelas mensais deverão ser geradas pelo próprio arrematante diretamente no site do Tribunal. </w:t>
      </w:r>
      <w:r w:rsidRPr="00EF3A9B">
        <w:rPr>
          <w:rFonts w:ascii="Verdana" w:hAnsi="Verdana"/>
        </w:rPr>
        <w:lastRenderedPageBreak/>
        <w:t>Deverá também o interessado atentar para o disposto nos demais parágrafos do artigo 895 quanto a data para pagamento das parcelas, das garantias, da atualização mensal das parcelas vincendas e da decisão exarada pelo MM. Juiz nos autos.</w:t>
      </w:r>
    </w:p>
    <w:p w14:paraId="33C00AC2" w14:textId="5BA7C505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 xml:space="preserve">Responsabilidade outras: Correrão por conta exclusiva do arrematante as despesas gerais relativas à desmontagem, transporte e transferência patrimonial dos bens arrematados; exceto os que se enquadrem nos art. 130, § único do CTN e art. 908, § 1° do código de processo civil. Será também de inteira responsabilidade do arrematante a juntada de comprovantes de pagamento e outros aos autos. </w:t>
      </w:r>
    </w:p>
    <w:p w14:paraId="696996A1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12C49CBF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Recursos: Dos autos não consta recursos ou causa pendente de julgamento.</w:t>
      </w:r>
    </w:p>
    <w:p w14:paraId="1BBE0156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Da Carta de arrematação: A carta de arrematação será expedida pelo MM. Juiz nos termos dos art. 901 e 903 do código de processo civil.</w:t>
      </w:r>
    </w:p>
    <w:p w14:paraId="634611B0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 xml:space="preserve">Dúvidas e Esclarecimentos: pessoalmente perante o 2º Ofício Cível, ou no escritório do Leiloeiro Oficial, Avenida Marques de São Vicente, 230, SP - Capital, ou ainda, pelo telefone 11 3965-0000 / Whats App 11 95662-5151, e e-mail: </w:t>
      </w:r>
      <w:hyperlink r:id="rId6" w:history="1">
        <w:r w:rsidRPr="00EF3A9B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EF3A9B">
        <w:rPr>
          <w:rFonts w:ascii="Verdana" w:hAnsi="Verdana"/>
        </w:rPr>
        <w:t>.</w:t>
      </w:r>
    </w:p>
    <w:p w14:paraId="122177CA" w14:textId="6B489C79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  <w:r w:rsidRPr="00EF3A9B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Minas Gerais - SP, 19 de outubro de 2026</w:t>
      </w:r>
    </w:p>
    <w:p w14:paraId="28FD349C" w14:textId="77777777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</w:p>
    <w:p w14:paraId="7D39182C" w14:textId="631BC1E1" w:rsidR="00AB1030" w:rsidRPr="00EF3A9B" w:rsidRDefault="00AB1030" w:rsidP="00EF3A9B">
      <w:pPr>
        <w:spacing w:line="360" w:lineRule="auto"/>
        <w:jc w:val="both"/>
        <w:rPr>
          <w:rFonts w:ascii="Verdana" w:hAnsi="Verdana"/>
        </w:rPr>
      </w:pPr>
    </w:p>
    <w:sectPr w:rsidR="00AB1030" w:rsidRPr="00EF3A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30"/>
    <w:rsid w:val="0001038E"/>
    <w:rsid w:val="0005482F"/>
    <w:rsid w:val="0007029C"/>
    <w:rsid w:val="00095F4C"/>
    <w:rsid w:val="000C55D2"/>
    <w:rsid w:val="00162517"/>
    <w:rsid w:val="001D31E3"/>
    <w:rsid w:val="001E0455"/>
    <w:rsid w:val="00213268"/>
    <w:rsid w:val="00226567"/>
    <w:rsid w:val="002649A6"/>
    <w:rsid w:val="002B1030"/>
    <w:rsid w:val="002F6236"/>
    <w:rsid w:val="0031788F"/>
    <w:rsid w:val="003B5C1C"/>
    <w:rsid w:val="003C6DBB"/>
    <w:rsid w:val="003F2D88"/>
    <w:rsid w:val="004946F0"/>
    <w:rsid w:val="004C415B"/>
    <w:rsid w:val="004E3F92"/>
    <w:rsid w:val="004F0652"/>
    <w:rsid w:val="004F3121"/>
    <w:rsid w:val="004F66F6"/>
    <w:rsid w:val="00660C7D"/>
    <w:rsid w:val="006771AA"/>
    <w:rsid w:val="00685617"/>
    <w:rsid w:val="007138C1"/>
    <w:rsid w:val="00783FAA"/>
    <w:rsid w:val="007A0BC5"/>
    <w:rsid w:val="007E54E8"/>
    <w:rsid w:val="007F3384"/>
    <w:rsid w:val="00800A8C"/>
    <w:rsid w:val="0085786B"/>
    <w:rsid w:val="008F7E35"/>
    <w:rsid w:val="00917AD1"/>
    <w:rsid w:val="009872EC"/>
    <w:rsid w:val="009A0111"/>
    <w:rsid w:val="009B4D06"/>
    <w:rsid w:val="00A15F85"/>
    <w:rsid w:val="00AA6340"/>
    <w:rsid w:val="00AB1030"/>
    <w:rsid w:val="00AE136B"/>
    <w:rsid w:val="00B239B0"/>
    <w:rsid w:val="00BD20AC"/>
    <w:rsid w:val="00C97015"/>
    <w:rsid w:val="00CC368D"/>
    <w:rsid w:val="00CD17E3"/>
    <w:rsid w:val="00CD237F"/>
    <w:rsid w:val="00CE1EDC"/>
    <w:rsid w:val="00D177FD"/>
    <w:rsid w:val="00D5373E"/>
    <w:rsid w:val="00D66C24"/>
    <w:rsid w:val="00DB021F"/>
    <w:rsid w:val="00DF2190"/>
    <w:rsid w:val="00E84A16"/>
    <w:rsid w:val="00E87068"/>
    <w:rsid w:val="00EA2792"/>
    <w:rsid w:val="00EE6C4C"/>
    <w:rsid w:val="00EF2EF8"/>
    <w:rsid w:val="00EF3A9B"/>
    <w:rsid w:val="00EF3DA8"/>
    <w:rsid w:val="00F17636"/>
    <w:rsid w:val="00F2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92534"/>
  <w15:chartTrackingRefBased/>
  <w15:docId w15:val="{B1C8951F-7167-49AC-BCB9-C58A8BD7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B1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1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B1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B1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B1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B1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B1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B1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B1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1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B1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B1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B103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B103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B10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B10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B10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B10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B1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B1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B1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B1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B1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B10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B10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B103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B1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B103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B10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B1030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1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endimento@leilaobrasil.com.br" TargetMode="External"/><Relationship Id="rId5" Type="http://schemas.openxmlformats.org/officeDocument/2006/relationships/hyperlink" Target="http://www.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4534</Characters>
  <Application>Microsoft Office Word</Application>
  <DocSecurity>4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 21</dc:creator>
  <cp:keywords/>
  <dc:description/>
  <cp:lastModifiedBy>Leilão Brasil</cp:lastModifiedBy>
  <cp:revision>2</cp:revision>
  <dcterms:created xsi:type="dcterms:W3CDTF">2026-10-26T14:47:00Z</dcterms:created>
  <dcterms:modified xsi:type="dcterms:W3CDTF">2026-10-26T14:47:00Z</dcterms:modified>
</cp:coreProperties>
</file>