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96BCD" w14:textId="77777777" w:rsidR="003826E6" w:rsidRPr="00993FEB" w:rsidRDefault="003826E6" w:rsidP="003826E6">
      <w:pPr>
        <w:spacing w:line="360" w:lineRule="auto"/>
        <w:jc w:val="center"/>
        <w:rPr>
          <w:rFonts w:ascii="Verdana" w:hAnsi="Verdana"/>
        </w:rPr>
      </w:pPr>
      <w:r w:rsidRPr="00993FEB">
        <w:rPr>
          <w:rFonts w:ascii="Verdana" w:hAnsi="Verdana"/>
        </w:rPr>
        <w:t>1ª Vara Cível do Foro de Amparo/SP</w:t>
      </w:r>
    </w:p>
    <w:p w14:paraId="0C297A9B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</w:p>
    <w:p w14:paraId="2E514BB3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Edital de praça única de bem imóvel e para intimação de Nelson de Oliveira, Creusa Georgina Antero de Oliveira, Anderson Evandro de Oliveira, bem como de </w:t>
      </w:r>
      <w:r>
        <w:rPr>
          <w:rFonts w:ascii="Verdana" w:hAnsi="Verdana"/>
        </w:rPr>
        <w:t>seu</w:t>
      </w:r>
      <w:r w:rsidRPr="00993FEB">
        <w:rPr>
          <w:rFonts w:ascii="Verdana" w:hAnsi="Verdana"/>
        </w:rPr>
        <w:t xml:space="preserve"> cônjuge Maria Lucineia de Toledo Oliveira, da terceira interessada Arlete Aparecida Gomes Rossi e do credor hipotecário Banco do Brasil S/A, expedido nos autos do Cumprimento de Sentença, que lhe requer Banco do Brasil S/A, Processo n° 1003449-24.2016.8.26.0022</w:t>
      </w:r>
    </w:p>
    <w:p w14:paraId="7FD1DF20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O Dr. Fernando Leonardi Campanella, Juiz de Direito da </w:t>
      </w:r>
      <w:bookmarkStart w:id="0" w:name="_Hlk216097965"/>
      <w:r w:rsidRPr="00993FEB">
        <w:rPr>
          <w:rFonts w:ascii="Verdana" w:hAnsi="Verdana"/>
        </w:rPr>
        <w:t>1ª Vara Cível do Foro de Amparo do Estado de São Paulo</w:t>
      </w:r>
      <w:bookmarkEnd w:id="0"/>
      <w:r w:rsidRPr="00993FEB">
        <w:rPr>
          <w:rFonts w:ascii="Verdana" w:hAnsi="Verdana"/>
        </w:rPr>
        <w:t>, na forma da lei, etc...</w:t>
      </w:r>
    </w:p>
    <w:p w14:paraId="3169CB4F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Faz Saber que o Leiloeiro Oficial, Sr. Irani Flores, JUCESP 792, levará a leilão público para venda e arrematação, no local e hora descritos no edital com transmissão pela internet e disponibilização imediata na plataforma de leilões eletrônicos, </w:t>
      </w:r>
      <w:hyperlink r:id="rId4" w:history="1">
        <w:r w:rsidRPr="00993FEB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993FEB">
        <w:rPr>
          <w:rFonts w:ascii="Verdana" w:hAnsi="Verdana"/>
        </w:rPr>
        <w:t xml:space="preserve"> para lances através da internet.</w:t>
      </w:r>
    </w:p>
    <w:p w14:paraId="42A952C4" w14:textId="77777777" w:rsidR="003826E6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Do início e encerramento do Leilão: </w:t>
      </w:r>
      <w:bookmarkStart w:id="1" w:name="_Hlk216097981"/>
      <w:r w:rsidRPr="00993FEB">
        <w:rPr>
          <w:rFonts w:ascii="Verdana" w:hAnsi="Verdana"/>
        </w:rPr>
        <w:t xml:space="preserve">Início em 30/11/2026 às 10:45 horas e encerramento em 15/12/2026 às 10:45 </w:t>
      </w:r>
      <w:bookmarkEnd w:id="1"/>
      <w:r w:rsidRPr="00993FEB">
        <w:rPr>
          <w:rFonts w:ascii="Verdana" w:hAnsi="Verdana"/>
        </w:rPr>
        <w:t>horas, não sendo aceito lances inferiores a 70% do valor da avaliação atualizada pelos índices do TJSP para a data da abertura do leilão que deverá ser ofertado diretamente na plataforma através da internet.</w:t>
      </w:r>
    </w:p>
    <w:p w14:paraId="74D90476" w14:textId="77777777" w:rsidR="003826E6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Bem: </w:t>
      </w:r>
      <w:r w:rsidRPr="007C39BC">
        <w:rPr>
          <w:rFonts w:ascii="Verdana" w:hAnsi="Verdana"/>
        </w:rPr>
        <w:t xml:space="preserve">Granja e Psicultura na Estrada Vicinal do Bairro dos Limas, s/n, Zona Rural, Georreferencia: 22°43'41.7"S 46°40'22.4"W, Cidade Monte Alegre do Sul </w:t>
      </w:r>
      <w:r>
        <w:rPr>
          <w:rFonts w:ascii="Verdana" w:hAnsi="Verdana"/>
        </w:rPr>
        <w:t xml:space="preserve"> - SP, </w:t>
      </w:r>
      <w:r w:rsidRPr="007C39BC">
        <w:rPr>
          <w:rFonts w:ascii="Verdana" w:hAnsi="Verdana"/>
        </w:rPr>
        <w:t xml:space="preserve"> Bairro dos Limas em Monte Alegre do Sul,</w:t>
      </w:r>
      <w:r>
        <w:rPr>
          <w:rFonts w:ascii="Verdana" w:hAnsi="Verdana"/>
        </w:rPr>
        <w:t xml:space="preserve"> </w:t>
      </w:r>
      <w:r w:rsidRPr="00993FEB">
        <w:rPr>
          <w:rFonts w:ascii="Verdana" w:hAnsi="Verdana"/>
        </w:rPr>
        <w:t xml:space="preserve">com a área de 22,50 </w:t>
      </w:r>
      <w:proofErr w:type="spellStart"/>
      <w:r w:rsidRPr="00993FEB">
        <w:rPr>
          <w:rFonts w:ascii="Verdana" w:hAnsi="Verdana"/>
        </w:rPr>
        <w:t>has</w:t>
      </w:r>
      <w:proofErr w:type="spellEnd"/>
      <w:r w:rsidRPr="00993FEB">
        <w:rPr>
          <w:rFonts w:ascii="Verdana" w:hAnsi="Verdana"/>
        </w:rPr>
        <w:t xml:space="preserve"> mais ou menos, contendo terras de cultura, pastos e invernada, confrontando com o Espólio de Antenor </w:t>
      </w:r>
      <w:proofErr w:type="spellStart"/>
      <w:r w:rsidRPr="00993FEB">
        <w:rPr>
          <w:rFonts w:ascii="Verdana" w:hAnsi="Verdana"/>
        </w:rPr>
        <w:t>Povia</w:t>
      </w:r>
      <w:proofErr w:type="spellEnd"/>
      <w:r w:rsidRPr="00993FEB">
        <w:rPr>
          <w:rFonts w:ascii="Verdana" w:hAnsi="Verdana"/>
        </w:rPr>
        <w:t xml:space="preserve"> e Leonídio </w:t>
      </w:r>
      <w:proofErr w:type="spellStart"/>
      <w:r w:rsidRPr="00993FEB">
        <w:rPr>
          <w:rFonts w:ascii="Verdana" w:hAnsi="Verdana"/>
        </w:rPr>
        <w:t>Povia</w:t>
      </w:r>
      <w:proofErr w:type="spellEnd"/>
      <w:r w:rsidRPr="00993FEB">
        <w:rPr>
          <w:rFonts w:ascii="Verdana" w:hAnsi="Verdana"/>
        </w:rPr>
        <w:t xml:space="preserve">, Emilio Rodrigues, </w:t>
      </w:r>
      <w:proofErr w:type="spellStart"/>
      <w:r w:rsidRPr="00993FEB">
        <w:rPr>
          <w:rFonts w:ascii="Verdana" w:hAnsi="Verdana"/>
        </w:rPr>
        <w:t>Antonio</w:t>
      </w:r>
      <w:proofErr w:type="spellEnd"/>
      <w:r w:rsidRPr="00993FEB">
        <w:rPr>
          <w:rFonts w:ascii="Verdana" w:hAnsi="Verdana"/>
        </w:rPr>
        <w:t xml:space="preserve"> Davoli, Oliver </w:t>
      </w:r>
      <w:proofErr w:type="spellStart"/>
      <w:r w:rsidRPr="00993FEB">
        <w:rPr>
          <w:rFonts w:ascii="Verdana" w:hAnsi="Verdana"/>
        </w:rPr>
        <w:t>Daulio</w:t>
      </w:r>
      <w:proofErr w:type="spellEnd"/>
      <w:r w:rsidRPr="00993FEB">
        <w:rPr>
          <w:rFonts w:ascii="Verdana" w:hAnsi="Verdana"/>
        </w:rPr>
        <w:t xml:space="preserve"> ou sucessores, Sebastião Siqueira ou sucessores; cadastrado no INCRA sob nº 625.051.000.620-6. </w:t>
      </w:r>
      <w:r w:rsidRPr="00695BD0">
        <w:rPr>
          <w:rFonts w:ascii="Verdana" w:hAnsi="Verdana"/>
        </w:rPr>
        <w:t>Consta no laudo do perito:</w:t>
      </w:r>
      <w:r w:rsidRPr="00993FEB">
        <w:rPr>
          <w:rFonts w:ascii="Verdana" w:hAnsi="Verdana"/>
        </w:rPr>
        <w:t xml:space="preserve"> Trata-se de um imóvel rural situado na Estrada Vicinal do Bairro dos Limas, s/n, Zona </w:t>
      </w:r>
      <w:r w:rsidRPr="00993FEB">
        <w:rPr>
          <w:rFonts w:ascii="Verdana" w:hAnsi="Verdana"/>
        </w:rPr>
        <w:lastRenderedPageBreak/>
        <w:t xml:space="preserve">Rural, com diversas benfeitorias existentes, áreas de pastagem e a estrutura de granja em funcionamento, possibilitando capacidade produtiva estimada de cerca de 45.000 aves, tanque destinado à atividade de piscicultura, utilizado para criação de peixes da espécie pacu. Ônus: Consta na R.10, a Hipoteca de 1º Grau em favor do Banco do Brasil S/A. Consta na R.13 a Hipoteca de 2º Grau em favor do Banco do Brasil S/A. Consta na R.14 a Hipoteca de 3º Grau em favor do Banco do Brasil S/A. Consta na Av. 15 a distribuição do Proc. nº 3003347-70.2013.8.26.0022 - 2ª Vara de Amparo/SP. Consta na Av. 16 a distribuição do Proc. nº 1001886-92.2016.8.26.0022 - 2ª Vara de Amparo/SP. Consta na Av.17 a Indisponibilidade de bens decretada pelo Proc. nº 00114709520165030151. Consta na Av.19, penhora do processo n 1001264-47.2015.8.26.0022. Consta na Av.20, penhora do processo n 1001886-92.2016.8.26.0022. Consta na Av.21, penhora de 50% do imóvel, no processo nº 1000705-22.2017.8.26.0022. Consta na Av.23, penhora do processo nº 0000375-71.2018.8.26.0022. Consta na Av.24, penhora do processo nº 1003448-39.2016.8.26.0022. Consta na Av.25, penhora do processo nº 0001318-88.2019.8.26.0022. Consta na Av.26, penhora do processo nº 1003449-24.2016.8.26.0022. Consta na Av.27, penhora de 50% do imóvel, no processo nº 3003347-70.2013.8.26.0022. Consta na Av.28 a Indisponibilidade de bens decretada pelo Proc. nº 00006922220145150048). Consta na Av.29, penhora do processo nº 0010837-19.2017.5.15.0118. Consta na Av.30, penhora do processo nº 0000692-22.2014.5.15.0048. Consta na Av.31, penhora do processo nº 0001433-50.2022.8.26.0040. </w:t>
      </w:r>
      <w:r>
        <w:rPr>
          <w:rFonts w:ascii="Verdana" w:hAnsi="Verdana"/>
        </w:rPr>
        <w:t xml:space="preserve"> </w:t>
      </w:r>
      <w:r w:rsidRPr="00993FEB">
        <w:rPr>
          <w:rFonts w:ascii="Verdana" w:hAnsi="Verdana"/>
        </w:rPr>
        <w:t>Matrícula nº 3.188 do CRI de Amparo.</w:t>
      </w:r>
    </w:p>
    <w:p w14:paraId="448D2C36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Avaliação R$ 2.940.000,00 (abril/2026)</w:t>
      </w:r>
    </w:p>
    <w:p w14:paraId="76E5EB81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Quem pode ofertar lances: É permitido a todos interessados fazer lances diretamente no sistema gestor, desde que, cadastrado e habilitado com no mínimo 24 horas que antecedem o encerramento do </w:t>
      </w:r>
      <w:r w:rsidRPr="00993FEB">
        <w:rPr>
          <w:rFonts w:ascii="Verdana" w:hAnsi="Verdana"/>
        </w:rPr>
        <w:lastRenderedPageBreak/>
        <w:t>leilão; exceto os que se enquadrem no art. 890 do CPC ainda que cadastrados e habilitados no sistema.</w:t>
      </w:r>
    </w:p>
    <w:p w14:paraId="6D88B689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30CF9D95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Da Comissão: A comissão do leiloeiro será de 5% sobre o valor da arrematação artigo 7° da Resolução 236/2016 do CNJ, não estando incluída no valor da arrematação e deverá ser paga diretamente à Leiloeira Oficial.</w:t>
      </w:r>
    </w:p>
    <w:p w14:paraId="27DD21B1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Da Adjudicação: Condicionada aos termos do art. 876 e 892, § 1° do código de processo civil.</w:t>
      </w:r>
    </w:p>
    <w:p w14:paraId="69623E7E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Do pagamento: O arrematante terá o prazo de 24 horas para efetuar o pagamento da arrematação e da comissão.</w:t>
      </w:r>
    </w:p>
    <w:p w14:paraId="790454A4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Do pagamento parcelado: O parcelamento da arrematação dar-se-á nos termos da Lei; artigo 895 do código de processo civil, “§ 2º, 7º e 8º todos do mesmo artigo. Ampla divulgação e transparência necessária a bem do processo e da Justiça no geral, art. 14 e 22 da Resolução 236/2016 do CNJ.  Será apreciado e decidido pelo MM. Juiz, § 6º, 7º e 8º do art. 895 do CPC, uma entre as propostas ofertadas na plataforma </w:t>
      </w:r>
      <w:hyperlink r:id="rId5" w:history="1">
        <w:r w:rsidRPr="00993FEB">
          <w:rPr>
            <w:rStyle w:val="Hyperlink"/>
            <w:rFonts w:ascii="Verdana" w:hAnsi="Verdana"/>
            <w:color w:val="0000FF"/>
          </w:rPr>
          <w:t>www.leilaobrasil.com.br</w:t>
        </w:r>
      </w:hyperlink>
      <w:r w:rsidRPr="00993FEB">
        <w:rPr>
          <w:rFonts w:ascii="Verdana" w:hAnsi="Verdana"/>
        </w:rPr>
        <w:t xml:space="preserve">, salvo decisão judicial adversa. No decorrer do certame os participantes poderão alterar o prazo de pagamento sem precisar alterar o valor anteriormente ofertado, desde que, não sejam inferiores ao valor corrente. O valor a ser pago à vista não poderá ser inferior a 25% do valor do lance ofertado.  O prazo do parcelamento não poderá ser superior a 30 parcelas mensais e consecutivos. O valor de cada parcela mensal não poderá ser inferior a R$ 1.000,00 devidamente atualizada pelos índices definidos pelo MM. Juiz. As guias para pagamento das parcelas mensais deverão ser geradas pelo próprio arrematante diretamente no site do Tribunal. </w:t>
      </w:r>
      <w:r w:rsidRPr="00993FEB">
        <w:rPr>
          <w:rFonts w:ascii="Verdana" w:hAnsi="Verdana"/>
        </w:rPr>
        <w:lastRenderedPageBreak/>
        <w:t>Deverá também o interessado atentar para o disposto nos demais parágrafos do artigo 895 quanto a data para pagamento das parcelas, das garantias, da atualização mensal das parcelas vincendas e da decisão exarada pelo MM. Juiz nos autos.</w:t>
      </w:r>
    </w:p>
    <w:p w14:paraId="363014DC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Responsabilidade outras: Correrão por conta exclusiva do arrematante as despesas gerais relativas à desmontagem, transporte e transferência patrimonial dos bens arrematados; O arrematante arcará com débitos pendentes que recaiam sobre o bem, exceto os decorrentes de débitos fiscais e tributários e débitos de condomínio, os quais ficam sub-rogados no preço da arrematação, despesas relativas a montagem/desmontagem, transporte e transferência patrimonial dos bens arrematados, além da comissão do leiloeiro, acima fixada.</w:t>
      </w:r>
    </w:p>
    <w:p w14:paraId="6D9D0A5F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3CA3BF2B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Recursos: Dos autos não consta recursos ou causa pendente de julgamento.</w:t>
      </w:r>
    </w:p>
    <w:p w14:paraId="70E9BABF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Da Carta de arrematação: A carta de arrematação será expedida pelo MM. Juiz nos termos dos art. 901 e 903 do código de processo civil.</w:t>
      </w:r>
    </w:p>
    <w:p w14:paraId="51AE2154" w14:textId="77777777" w:rsidR="003826E6" w:rsidRPr="00993FEB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 xml:space="preserve">Dúvidas e Esclarecimentos: pessoalmente perante o 1º Ofício Cível, ou no escritório do Leiloeiro Oficial, Avenida Marques de São Vicente, 230, SP - Capital, ou ainda, pelo telefone 11 3965-0000 / Whats App 11 95662-5151, e e-mail: </w:t>
      </w:r>
      <w:hyperlink r:id="rId6" w:history="1">
        <w:r w:rsidRPr="00993FEB">
          <w:rPr>
            <w:rStyle w:val="Hyperlink"/>
            <w:rFonts w:ascii="Verdana" w:hAnsi="Verdana"/>
            <w:color w:val="0000FF"/>
          </w:rPr>
          <w:t>atendimento@leilaobrasil.com.br</w:t>
        </w:r>
      </w:hyperlink>
      <w:r w:rsidRPr="00993FEB">
        <w:rPr>
          <w:rFonts w:ascii="Verdana" w:hAnsi="Verdana"/>
        </w:rPr>
        <w:t>.</w:t>
      </w:r>
    </w:p>
    <w:p w14:paraId="20B9AEC5" w14:textId="3E11130B" w:rsidR="00890A30" w:rsidRPr="003826E6" w:rsidRDefault="003826E6" w:rsidP="003826E6">
      <w:pPr>
        <w:spacing w:line="360" w:lineRule="auto"/>
        <w:jc w:val="both"/>
        <w:rPr>
          <w:rFonts w:ascii="Verdana" w:hAnsi="Verdana"/>
        </w:rPr>
      </w:pPr>
      <w:r w:rsidRPr="00993FEB">
        <w:rPr>
          <w:rFonts w:ascii="Verdana" w:hAnsi="Verdana"/>
        </w:rPr>
        <w:t>Ficam os executados, bem como eventuais interessados, INTIMADOS das designações supra, caso não sejam localizados para as intimações pessoais, será o edital “por extrato”, afixado e publicado na forma da lei, Provimento CGJ n° 32/2018, art. 428.1.2, e art. 887, § 2° do CPC. Amparo, 25</w:t>
      </w:r>
      <w:r>
        <w:rPr>
          <w:rFonts w:ascii="Verdana" w:hAnsi="Verdana"/>
        </w:rPr>
        <w:t>/09/2026</w:t>
      </w:r>
    </w:p>
    <w:sectPr w:rsidR="00890A30" w:rsidRPr="003826E6" w:rsidSect="003826E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6E6"/>
    <w:rsid w:val="00190845"/>
    <w:rsid w:val="0027759A"/>
    <w:rsid w:val="003826E6"/>
    <w:rsid w:val="006538C2"/>
    <w:rsid w:val="008632FB"/>
    <w:rsid w:val="00890A30"/>
    <w:rsid w:val="009526CE"/>
    <w:rsid w:val="00BA104D"/>
    <w:rsid w:val="00C45A2A"/>
    <w:rsid w:val="00FC3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1AC36"/>
  <w15:chartTrackingRefBased/>
  <w15:docId w15:val="{57438BEB-3F2E-455C-B872-A08ED01B7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6E6"/>
    <w:rPr>
      <w:rFonts w:ascii="Aptos" w:eastAsia="Aptos" w:hAnsi="Aptos" w:cs="Times New Roman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382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82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826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826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826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826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826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826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826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826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826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826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826E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826E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826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826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826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826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826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382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826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382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826E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3826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826E6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3826E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826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826E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826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3826E6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tendimento@leilaobrasil.com.br" TargetMode="External"/><Relationship Id="rId5" Type="http://schemas.openxmlformats.org/officeDocument/2006/relationships/hyperlink" Target="http://www.leilaobrasil.com.br" TargetMode="External"/><Relationship Id="rId4" Type="http://schemas.openxmlformats.org/officeDocument/2006/relationships/hyperlink" Target="http://www.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1173</Words>
  <Characters>6336</Characters>
  <Application>Microsoft Office Word</Application>
  <DocSecurity>0</DocSecurity>
  <Lines>52</Lines>
  <Paragraphs>14</Paragraphs>
  <ScaleCrop>false</ScaleCrop>
  <Company/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Leilão Brasil</dc:creator>
  <cp:keywords/>
  <dc:description/>
  <cp:lastModifiedBy>Leilão Brasil</cp:lastModifiedBy>
  <cp:revision>1</cp:revision>
  <dcterms:created xsi:type="dcterms:W3CDTF">2026-09-29T11:59:00Z</dcterms:created>
  <dcterms:modified xsi:type="dcterms:W3CDTF">2026-09-29T12:00:00Z</dcterms:modified>
</cp:coreProperties>
</file>