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89C7A" w14:textId="77777777" w:rsidR="00663DFC" w:rsidRDefault="00663DFC" w:rsidP="00663DFC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EDITAL DE INTIMAÇÃO E LEILÃO</w:t>
      </w:r>
    </w:p>
    <w:p w14:paraId="0B27D774" w14:textId="77777777" w:rsidR="00663DFC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2813C88" w14:textId="77777777" w:rsidR="00663DFC" w:rsidRPr="003440C6" w:rsidRDefault="00663DFC" w:rsidP="00663DFC">
      <w:pPr>
        <w:spacing w:after="0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LUAN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>UBIALLI</w:t>
      </w:r>
      <w:r w:rsidRPr="003440C6">
        <w:rPr>
          <w:rFonts w:ascii="Arial" w:eastAsia="Arial" w:hAnsi="Arial" w:cs="Arial"/>
          <w:sz w:val="20"/>
          <w:szCs w:val="20"/>
        </w:rPr>
        <w:t xml:space="preserve">, Leiloeiro Público Oficial – AARC/383 / 476/RS, devidamente autorizado pelo Excelentíssimo(a) Senhor(a) Doutor(a) Juiz(a) do Trabalho da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>2ª Vara do Trabalho de Florianópolis/SC</w:t>
      </w:r>
      <w:r w:rsidRPr="003440C6">
        <w:rPr>
          <w:rFonts w:ascii="Arial" w:eastAsia="Arial" w:hAnsi="Arial" w:cs="Arial"/>
          <w:sz w:val="20"/>
          <w:szCs w:val="20"/>
        </w:rPr>
        <w:t xml:space="preserve">, levará a venda em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>Leilão Público Eletrônico (Online)</w:t>
      </w:r>
      <w:r w:rsidRPr="003440C6">
        <w:rPr>
          <w:rFonts w:ascii="Arial" w:eastAsia="Arial" w:hAnsi="Arial" w:cs="Arial"/>
          <w:sz w:val="20"/>
          <w:szCs w:val="20"/>
        </w:rPr>
        <w:t>, em dia e local adiante descritos, os bens penhorados nos processos abaixo relacionados, oportunidade em que poderão ser judicialmente expropriados, nos termos do art. 888, parágrafo 1º da CLT.</w:t>
      </w:r>
    </w:p>
    <w:p w14:paraId="02FBFA83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7C6238C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bookmarkStart w:id="0" w:name="_heading=h.pv3on8h0nq4g" w:colFirst="0" w:colLast="0"/>
      <w:bookmarkEnd w:id="0"/>
      <w:r w:rsidRPr="003440C6">
        <w:rPr>
          <w:rFonts w:ascii="Arial" w:eastAsia="Arial" w:hAnsi="Arial" w:cs="Arial"/>
          <w:b/>
          <w:bCs/>
          <w:sz w:val="20"/>
          <w:szCs w:val="20"/>
        </w:rPr>
        <w:t>Início do Leilão: 23/10/2026, às 15:30 horas</w:t>
      </w:r>
      <w:r w:rsidRPr="003440C6">
        <w:rPr>
          <w:rFonts w:ascii="Arial" w:eastAsia="Arial" w:hAnsi="Arial" w:cs="Arial"/>
          <w:sz w:val="20"/>
          <w:szCs w:val="20"/>
        </w:rPr>
        <w:t xml:space="preserve">, com encerramento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>no dia 29/10/2026, às 15:30 horas</w:t>
      </w:r>
      <w:r w:rsidRPr="003440C6">
        <w:rPr>
          <w:rFonts w:ascii="Arial" w:eastAsia="Arial" w:hAnsi="Arial" w:cs="Arial"/>
          <w:sz w:val="20"/>
          <w:szCs w:val="20"/>
        </w:rPr>
        <w:t xml:space="preserve">. Os bens poderão ser arrematados por quem mais ofertar,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 xml:space="preserve">desde que igual ou superior a 50% da avaliação (art. 888, </w:t>
      </w:r>
      <w:r w:rsidRPr="003440C6">
        <w:rPr>
          <w:rFonts w:ascii="Arial" w:eastAsia="Arial" w:hAnsi="Arial" w:cs="Arial"/>
          <w:b/>
          <w:bCs/>
          <w:color w:val="000000"/>
          <w:sz w:val="20"/>
          <w:szCs w:val="20"/>
        </w:rPr>
        <w:t>§ 1º CLT)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274E6EEE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7026C5E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b/>
          <w:bCs/>
          <w:sz w:val="20"/>
          <w:szCs w:val="20"/>
        </w:rPr>
        <w:t>Local do Leilão:</w:t>
      </w:r>
      <w:r w:rsidRPr="003440C6">
        <w:rPr>
          <w:rFonts w:ascii="Arial" w:eastAsia="Arial" w:hAnsi="Arial" w:cs="Arial"/>
          <w:sz w:val="20"/>
          <w:szCs w:val="20"/>
        </w:rPr>
        <w:t xml:space="preserve"> no endereço eletrônico (site) </w:t>
      </w:r>
      <w:hyperlink r:id="rId4">
        <w:r w:rsidRPr="003440C6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440C6">
        <w:rPr>
          <w:rFonts w:ascii="Arial" w:eastAsia="Arial" w:hAnsi="Arial" w:cs="Arial"/>
          <w:sz w:val="20"/>
          <w:szCs w:val="20"/>
        </w:rPr>
        <w:t xml:space="preserve">. Para eventuais instruções adicionais, os interessados em participar do leilão poderão efetuar contato pelos meios disponibilizados, ou comparecer no escritório do leiloeiro, situado na Avenida Luiz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>, n.º 2.300, Santo Antônio, em Criciúma/SC.</w:t>
      </w:r>
    </w:p>
    <w:p w14:paraId="030405B4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C5B7CAB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color w:val="0563C1"/>
          <w:sz w:val="20"/>
          <w:szCs w:val="20"/>
          <w:u w:val="single"/>
        </w:rPr>
      </w:pPr>
      <w:r w:rsidRPr="003440C6">
        <w:rPr>
          <w:rFonts w:ascii="Arial" w:eastAsia="Arial" w:hAnsi="Arial" w:cs="Arial"/>
          <w:sz w:val="20"/>
          <w:szCs w:val="20"/>
          <w:u w:val="single"/>
        </w:rPr>
        <w:t>Leiloeiro Público Oficial/Nomeado:</w:t>
      </w:r>
      <w:r w:rsidRPr="003440C6">
        <w:rPr>
          <w:rFonts w:ascii="Arial" w:eastAsia="Arial" w:hAnsi="Arial" w:cs="Arial"/>
          <w:sz w:val="20"/>
          <w:szCs w:val="20"/>
        </w:rPr>
        <w:t xml:space="preserve">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>LUAN UBIALLI</w:t>
      </w:r>
      <w:r w:rsidRPr="003440C6">
        <w:rPr>
          <w:rFonts w:ascii="Arial" w:eastAsia="Arial" w:hAnsi="Arial" w:cs="Arial"/>
          <w:sz w:val="20"/>
          <w:szCs w:val="20"/>
        </w:rPr>
        <w:t xml:space="preserve"> - matrícula AARC/383 / 476/RS – </w:t>
      </w:r>
      <w:hyperlink r:id="rId5">
        <w:r w:rsidRPr="003440C6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</w:p>
    <w:p w14:paraId="6CCA8164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FD2BEEF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b/>
          <w:bCs/>
          <w:sz w:val="20"/>
          <w:szCs w:val="20"/>
          <w:u w:val="single"/>
        </w:rPr>
        <w:t>Do pagamento:</w:t>
      </w:r>
      <w:r w:rsidRPr="003440C6">
        <w:rPr>
          <w:rFonts w:ascii="Arial" w:eastAsia="Arial" w:hAnsi="Arial" w:cs="Arial"/>
          <w:sz w:val="20"/>
          <w:szCs w:val="20"/>
        </w:rPr>
        <w:t xml:space="preserve"> O arrematante fica ciente de que a venda no leilão eletrônico, via plataforma, será realizada à vista, sendo 20% de entrada, a título de sinal e como garantia, sobre o valor da arrematação, e o saldo em até 24 horas, mediante expedição de guia judicial.</w:t>
      </w:r>
    </w:p>
    <w:p w14:paraId="42F395FD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5CDE979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b/>
          <w:bCs/>
          <w:sz w:val="20"/>
          <w:szCs w:val="20"/>
          <w:u w:val="single"/>
        </w:rPr>
        <w:t>Da comissão do leiloeiro:</w:t>
      </w:r>
      <w:r w:rsidRPr="003440C6">
        <w:rPr>
          <w:rFonts w:ascii="Arial" w:eastAsia="Arial" w:hAnsi="Arial" w:cs="Arial"/>
          <w:sz w:val="20"/>
          <w:szCs w:val="20"/>
        </w:rPr>
        <w:t xml:space="preserve"> cabe aos arrematantes ou adjudicantes o pagamento da comissão do leiloeiro, estabelecida em 5% (cinco por cento) do valor da arrematação ou adjudicação.</w:t>
      </w:r>
    </w:p>
    <w:p w14:paraId="17828347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 xml:space="preserve"> </w:t>
      </w:r>
    </w:p>
    <w:p w14:paraId="04F2F6BD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Em caso de solução consensual entre devedor e credor após a publicação do edital, caberá ao devedor o pagamento das despesas incorridas para realização do leilão. Se a remissão ocorrer após a alienação, porém, caberá ao devedor o pagamento da comissão do leiloeiro, conforme dispõe o art. 7º, § 3º, da Resolução 236/2016, do CNJ.</w:t>
      </w:r>
    </w:p>
    <w:p w14:paraId="77F0701F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E0A4FB1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Atenção: o mero inadimplemento da arrematação não desobriga o arrematante do pagamento, de modo que ficará sujeito à multa fixada pelo juízo em favor do credor, bem como ao pagamento da comissão do leiloeiro estipulada no presente Edital.</w:t>
      </w:r>
    </w:p>
    <w:p w14:paraId="4CA03203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8AB6878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b/>
          <w:bCs/>
          <w:sz w:val="20"/>
          <w:szCs w:val="20"/>
          <w:u w:val="single"/>
        </w:rPr>
        <w:t>Dos lanços ofertados via internet:</w:t>
      </w:r>
      <w:r w:rsidRPr="003440C6">
        <w:rPr>
          <w:rFonts w:ascii="Arial" w:eastAsia="Arial" w:hAnsi="Arial" w:cs="Arial"/>
          <w:sz w:val="20"/>
          <w:szCs w:val="20"/>
        </w:rPr>
        <w:t xml:space="preserve"> O interessado em ofertar lances pela internet deverá, com antecedência mínima de 48 horas, cadastrar-se no site </w:t>
      </w:r>
      <w:hyperlink r:id="rId6">
        <w:r w:rsidRPr="003440C6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440C6">
        <w:rPr>
          <w:rFonts w:ascii="Arial" w:eastAsia="Arial" w:hAnsi="Arial" w:cs="Arial"/>
          <w:sz w:val="20"/>
          <w:szCs w:val="20"/>
        </w:rPr>
        <w:t>, e enviar a documentação que será oportunamente solicitada para homologação do cadastro.</w:t>
      </w:r>
    </w:p>
    <w:p w14:paraId="22D39318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9BECED8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O interessado responderá civil e criminalmente pelas informações lançadas no preenchimento do aludido cadastro, oportunidade em que preencherá os dados pessoais (pessoa física ou jurídica) e aceitará as condições de participação previstas neste Edital e nos Termos de Uso constante na página eletrônica.</w:t>
      </w:r>
    </w:p>
    <w:p w14:paraId="1812071E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6A7CACA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As pessoas físicas e jurídicas que solicitarem o cadastramento online outorgam poderes autorizando o leiloeiro oficial a assinar o auto de arrematação.</w:t>
      </w:r>
    </w:p>
    <w:p w14:paraId="6E1B6665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C3427AE" w14:textId="77777777" w:rsidR="00663DFC" w:rsidRPr="003440C6" w:rsidRDefault="00663DFC" w:rsidP="00663DFC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440C6">
        <w:rPr>
          <w:rFonts w:ascii="Arial" w:eastAsia="Arial" w:hAnsi="Arial" w:cs="Arial"/>
          <w:color w:val="000000"/>
          <w:sz w:val="20"/>
          <w:szCs w:val="20"/>
        </w:rPr>
        <w:t xml:space="preserve">Os lanços eletrônicos poderão ser iniciados a partir do momento em que o presente Edital estiver publicado no site do leiloeiro, sendo que estes serão concretizados estritamente no ato de sua captação pelo servidor, e não necessariamente no ato da emissão pelo participante. Devido à suscetibilidade de falhas técnicas e variações de naturezas diversas e alheias ao controle do leiloeiro ou da plataforma (como velocidade de internet, qualidade da conexão, versão de navegadores, </w:t>
      </w:r>
      <w:proofErr w:type="spellStart"/>
      <w:r w:rsidRPr="003440C6">
        <w:rPr>
          <w:rFonts w:ascii="Arial" w:eastAsia="Arial" w:hAnsi="Arial" w:cs="Arial"/>
          <w:color w:val="000000"/>
          <w:sz w:val="20"/>
          <w:szCs w:val="20"/>
        </w:rPr>
        <w:t>packet</w:t>
      </w:r>
      <w:proofErr w:type="spellEnd"/>
      <w:r w:rsidRPr="003440C6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3440C6">
        <w:rPr>
          <w:rFonts w:ascii="Arial" w:eastAsia="Arial" w:hAnsi="Arial" w:cs="Arial"/>
          <w:color w:val="000000"/>
          <w:sz w:val="20"/>
          <w:szCs w:val="20"/>
        </w:rPr>
        <w:t>loss</w:t>
      </w:r>
      <w:proofErr w:type="spellEnd"/>
      <w:r w:rsidRPr="003440C6">
        <w:rPr>
          <w:rFonts w:ascii="Arial" w:eastAsia="Arial" w:hAnsi="Arial" w:cs="Arial"/>
          <w:color w:val="000000"/>
          <w:sz w:val="20"/>
          <w:szCs w:val="20"/>
        </w:rPr>
        <w:t xml:space="preserve"> etc.), o leiloeiro não se responsabiliza por lances ofertados de forma </w:t>
      </w:r>
      <w:r w:rsidRPr="003440C6">
        <w:rPr>
          <w:rFonts w:ascii="Arial" w:eastAsia="Arial" w:hAnsi="Arial" w:cs="Arial"/>
          <w:color w:val="000000"/>
          <w:sz w:val="20"/>
          <w:szCs w:val="20"/>
        </w:rPr>
        <w:lastRenderedPageBreak/>
        <w:t>eletrônica. Na hipótese de lances de valores iguais, prevalecerá sempre aquele quem primeiro ofertou.</w:t>
      </w:r>
    </w:p>
    <w:p w14:paraId="67E302C5" w14:textId="77777777" w:rsidR="00663DFC" w:rsidRPr="003440C6" w:rsidRDefault="00663DFC" w:rsidP="00663DFC">
      <w:pPr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440C6">
        <w:rPr>
          <w:rFonts w:ascii="Arial" w:eastAsia="Arial" w:hAnsi="Arial" w:cs="Arial"/>
          <w:color w:val="000000"/>
          <w:sz w:val="20"/>
          <w:szCs w:val="20"/>
        </w:rPr>
        <w:t>Aos participantes do leilão não é conferido qualquer tipo de direito em caso de problemas com o servidor, ou mesmo qualquer outra falha técnica que comprometa ou impossibilite a realização do leilão. A atualização constante da página onde é realizado o leilão bem como a limpeza do cache do navegador são de inteira responsabilidade dos interessados, uma vez que eventos alheios ao controle do leiloeiro podem afetar ou distorcer o carregamento em tempo real dos eventos enviados pelo servidor.</w:t>
      </w:r>
    </w:p>
    <w:p w14:paraId="0AEE2120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Sobrevindo lance nos 03 (três) minutos antecedentes ao término do leilão, o horário de fechamento será prorrogado em 03 (três) minutos, e assim sucessivamente, para que todos os interessados tenham oportunidade de ofertar novos lances.</w:t>
      </w:r>
    </w:p>
    <w:p w14:paraId="6C798F21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E74E246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3440C6">
        <w:rPr>
          <w:rFonts w:ascii="Arial" w:eastAsia="Arial" w:hAnsi="Arial" w:cs="Arial"/>
          <w:b/>
          <w:bCs/>
          <w:sz w:val="20"/>
          <w:szCs w:val="20"/>
          <w:u w:val="single"/>
        </w:rPr>
        <w:t>Advertências Especiais:</w:t>
      </w:r>
    </w:p>
    <w:p w14:paraId="35193F84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24A68B9D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1ª) Por meio do presente, ficam as partes cientificadas da alienação judicial (art. 889, I e § único, do CPC); bem como seus cônjuges, representantes legais e eventuais credores hipotecários, usufrutuários, fiduciários e com penhora anteriormente averbadas, além de eventuais ocupante(s)/detentor(e)s, cientificando também que, caso resulte negativo o leilão, havendo aquiescência das partes, tácita ou expressa, ou ainda falta de manifestação das mesmas no prazo de 05 (cinco) dias, ficará autorizado o leiloeiro, nos 30 dias que sucederem ao leilão, a proceder a Venda Direta dos bens cuja oferta tenha resultado negativa no leilão;</w:t>
      </w:r>
    </w:p>
    <w:p w14:paraId="2446C5A7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A195350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2ª) O senhorio de direito, o coproprietário de bem indivisível do qual tenha sido penhorada fração ideal, o usufrutuário, o credor com garantia real ou com penhora anteriormente averbada que não seja de qualquer modo parte na execução, ficam neste ato intimados da alienação judicial (art. 889, II, III, e V do CPC);</w:t>
      </w:r>
    </w:p>
    <w:p w14:paraId="489DEE04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6DC0F401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3ª) Os bens serão leiloados e arrematados no estado em que se encontram, não sendo de responsabilidade do leiloeiro qualquer divergência eventualmente contida no edital. Ficam cientes os interessados de que a venda será realizada em caráter “ad corpus”, sendo que as descrições e imagens eventualmente divulgadas na plataforma possuem caráter meramente enunciativo e ilustrativo, e não representam, necessariamente, o objeto a ser leiloado. A verificação prévia do estado de conservação dos bens compete aos arrematantes, inclusive quanto à situação documental dos mesmos;</w:t>
      </w:r>
    </w:p>
    <w:p w14:paraId="1E5DC16D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DD23E34" w14:textId="77777777" w:rsidR="00663DFC" w:rsidRPr="003440C6" w:rsidRDefault="00663DFC" w:rsidP="00663DFC">
      <w:pPr>
        <w:shd w:val="clear" w:color="auto" w:fill="FFFFFF"/>
        <w:spacing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 xml:space="preserve">4ª) Os créditos que recaem sobre o bem, inclusive os de natureza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propter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 rem, sub-rogam-se sobre o respectivo preço, observada a ordem de preferência (art. 908, § 1º, do CPC, art. 122 da Consolidação dos Provimentos da Corregedoria-Geral da Justiça do Trabalho, e art. 130, § único, do CTN. </w:t>
      </w:r>
      <w:r w:rsidRPr="003440C6">
        <w:rPr>
          <w:rFonts w:ascii="Arial" w:eastAsia="Arial" w:hAnsi="Arial" w:cs="Arial"/>
          <w:sz w:val="20"/>
          <w:szCs w:val="20"/>
          <w:u w:val="single"/>
        </w:rPr>
        <w:t>O adquirente estará isento dos débitos tributários cujo fato gerador seja a propriedade, o domínio útil ou a posse dos bens e direitos adquiridos judicialmente, através de leilão judicial ou iniciativa particular, estejam ou não inscritos na dívida ativa, bem como dos débitos não tributários de natureza “</w:t>
      </w:r>
      <w:proofErr w:type="spellStart"/>
      <w:r w:rsidRPr="003440C6">
        <w:rPr>
          <w:rFonts w:ascii="Arial" w:eastAsia="Arial" w:hAnsi="Arial" w:cs="Arial"/>
          <w:sz w:val="20"/>
          <w:szCs w:val="20"/>
          <w:u w:val="single"/>
        </w:rPr>
        <w:t>propter</w:t>
      </w:r>
      <w:proofErr w:type="spellEnd"/>
      <w:r w:rsidRPr="003440C6">
        <w:rPr>
          <w:rFonts w:ascii="Arial" w:eastAsia="Arial" w:hAnsi="Arial" w:cs="Arial"/>
          <w:sz w:val="20"/>
          <w:szCs w:val="20"/>
          <w:u w:val="single"/>
        </w:rPr>
        <w:t xml:space="preserve"> rem” relativos ao referido bem, que se sub-rogarão no preço da aquisição (Consolidação dos Provimentos da CGJT, art. 122)</w:t>
      </w:r>
      <w:r w:rsidRPr="003440C6">
        <w:rPr>
          <w:rFonts w:ascii="Arial" w:eastAsia="Arial" w:hAnsi="Arial" w:cs="Arial"/>
          <w:sz w:val="20"/>
          <w:szCs w:val="20"/>
        </w:rPr>
        <w:t>.</w:t>
      </w:r>
    </w:p>
    <w:p w14:paraId="55A90EEE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5ª) Além de conferência prévia acerca da viabilidade de transferência e regularização de veículos (numeração de motor e chassi) e de imóveis, compete aos arrematantes as despesas com transferência e registro de propriedade, bem como com eventual retirada/transporte dos bens arrematados;</w:t>
      </w:r>
    </w:p>
    <w:p w14:paraId="51AEA996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4ACB343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6ª) As intimações necessárias poderão ser promovidas pela Secretaria por meio do Diário Oficial Eletrônico;</w:t>
      </w:r>
    </w:p>
    <w:p w14:paraId="6065EE06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1695078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7ª) Compete ao leiloeiro tomar as medidas e estabelecer os critérios para o bom funcionamento do leilão;</w:t>
      </w:r>
    </w:p>
    <w:p w14:paraId="0040E1D7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424AB34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lastRenderedPageBreak/>
        <w:t xml:space="preserve">Demais esclarecimentos, bem como cópias do edital, poderão ser solicitados diretamente pelo site do leiloeiro – </w:t>
      </w:r>
      <w:hyperlink r:id="rId7">
        <w:r w:rsidRPr="003440C6">
          <w:rPr>
            <w:rFonts w:ascii="Arial" w:eastAsia="Arial" w:hAnsi="Arial" w:cs="Arial"/>
            <w:color w:val="0563C1"/>
            <w:sz w:val="20"/>
            <w:szCs w:val="20"/>
            <w:u w:val="single"/>
          </w:rPr>
          <w:t>www.centralsuldeleiloes.com.br</w:t>
        </w:r>
      </w:hyperlink>
      <w:r w:rsidRPr="003440C6">
        <w:rPr>
          <w:rFonts w:ascii="Arial" w:eastAsia="Arial" w:hAnsi="Arial" w:cs="Arial"/>
          <w:sz w:val="20"/>
          <w:szCs w:val="20"/>
        </w:rPr>
        <w:t>, ou pelo fone: (48) 3437-6115.</w:t>
      </w:r>
    </w:p>
    <w:p w14:paraId="1DC8C947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ADE736C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440C6">
        <w:rPr>
          <w:rFonts w:ascii="Arial" w:eastAsia="Arial" w:hAnsi="Arial" w:cs="Arial"/>
          <w:b/>
          <w:bCs/>
          <w:sz w:val="20"/>
          <w:szCs w:val="20"/>
        </w:rPr>
        <w:t xml:space="preserve">Processo </w:t>
      </w:r>
      <w:proofErr w:type="spellStart"/>
      <w:r w:rsidRPr="003440C6">
        <w:rPr>
          <w:rFonts w:ascii="Arial" w:eastAsia="Arial" w:hAnsi="Arial" w:cs="Arial"/>
          <w:b/>
          <w:bCs/>
          <w:sz w:val="20"/>
          <w:szCs w:val="20"/>
        </w:rPr>
        <w:t>PJe</w:t>
      </w:r>
      <w:proofErr w:type="spellEnd"/>
      <w:r w:rsidRPr="003440C6">
        <w:rPr>
          <w:rFonts w:ascii="Arial" w:eastAsia="Arial" w:hAnsi="Arial" w:cs="Arial"/>
          <w:b/>
          <w:bCs/>
          <w:sz w:val="20"/>
          <w:szCs w:val="20"/>
        </w:rPr>
        <w:t xml:space="preserve"> nº 0001667-91.2018.5.12.0014</w:t>
      </w:r>
    </w:p>
    <w:p w14:paraId="02FECCC8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Exequente(s): Renato Lima da Cruz</w:t>
      </w:r>
    </w:p>
    <w:p w14:paraId="0402C045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>Executado(s): SN Construtora e Incorporadora Ltda. e outros (3)</w:t>
      </w:r>
    </w:p>
    <w:p w14:paraId="7896BF9A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3440C6">
        <w:rPr>
          <w:rFonts w:ascii="Arial" w:eastAsia="Arial" w:hAnsi="Arial" w:cs="Arial"/>
          <w:b/>
          <w:bCs/>
          <w:sz w:val="20"/>
          <w:szCs w:val="20"/>
        </w:rPr>
        <w:t>Bem(</w:t>
      </w:r>
      <w:proofErr w:type="spellStart"/>
      <w:r w:rsidRPr="003440C6">
        <w:rPr>
          <w:rFonts w:ascii="Arial" w:eastAsia="Arial" w:hAnsi="Arial" w:cs="Arial"/>
          <w:b/>
          <w:bCs/>
          <w:sz w:val="20"/>
          <w:szCs w:val="20"/>
        </w:rPr>
        <w:t>ns</w:t>
      </w:r>
      <w:proofErr w:type="spellEnd"/>
      <w:r w:rsidRPr="003440C6">
        <w:rPr>
          <w:rFonts w:ascii="Arial" w:eastAsia="Arial" w:hAnsi="Arial" w:cs="Arial"/>
          <w:b/>
          <w:bCs/>
          <w:sz w:val="20"/>
          <w:szCs w:val="20"/>
        </w:rPr>
        <w:t>): 01)</w:t>
      </w:r>
      <w:r w:rsidRPr="003440C6">
        <w:rPr>
          <w:rFonts w:ascii="Arial" w:eastAsia="Arial" w:hAnsi="Arial" w:cs="Arial"/>
          <w:sz w:val="20"/>
          <w:szCs w:val="20"/>
        </w:rPr>
        <w:t xml:space="preserve"> 01 (um) apartamento n° 104 do bloco "Ilha Bela", também denominado "bloco B", com a vaga de estacionamento n° B40, com finalidade/residencial, localizado no primeiro pavimento do condomínio denominado Ilhas do Atlântico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Residence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, situado na Rua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Jordelino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 João da Rosa, nº 421, bairro Vendaval, Município e Comarca de Biguaçu/SC, com a área privativa de 52,73m², área de uso comum de 10,5068m², totalizando uma área de 63,2368m²; matriculado sob o nº 35.812 do C.R.I. de Biguaçu/SC. Obs.: Inscrição imobiliária sob o nº 01.03.018.4268.002.024. Ônus: Penhorado nos autos nº 0000508-18.2016.5.12.0036 que tramita na 6ª Vara do Trabalho de Florianópolis/SC. Avaliado em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 xml:space="preserve">R$ 300.000,00 (trezentos mil reais); 02) </w:t>
      </w:r>
      <w:r w:rsidRPr="003440C6">
        <w:rPr>
          <w:rFonts w:ascii="Arial" w:eastAsia="Arial" w:hAnsi="Arial" w:cs="Arial"/>
          <w:sz w:val="20"/>
          <w:szCs w:val="20"/>
        </w:rPr>
        <w:t xml:space="preserve">01 (um) apartamento n° 301 do bloco "Ilha Bela", também denominado "bloco B", com a vaga de estacionamento n° B15, com finalidade residencial, localizado no terceiro pavimento do condomínio denominado "Ilhas do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Atlantico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Residence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", situado na Rua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Jordelino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 João da Rosa, nº 421, bairro Vendaval, Município e Comarca de Biguaçu/SC, com a área privativa de 52,84m², área de uso comum de 10,5294m², totalizando uma área de 63,3694m²; matriculado sob o nº 35.825 do C.R.I. de Biguaçu/SC. Obs.: Inscrição imobiliária sob o nº 01.03.018.4268.002.0011. Ônus: Existência da Ação de Execução nº 5002775-28.2026.8.24.0007 que tramita na 1ª Vara Cível da Comarca de Biguaçu/SC; indisponibilidade nos autos nº 5002775-28.2026.8.24.0007 que tramita na 1ª Vara Cível da Comarca de Biguaçu/SC. Avaliado em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 xml:space="preserve">R$ 300.000,00 (trezentos mil reais); 03) </w:t>
      </w:r>
      <w:r w:rsidRPr="003440C6">
        <w:rPr>
          <w:rFonts w:ascii="Arial" w:eastAsia="Arial" w:hAnsi="Arial" w:cs="Arial"/>
          <w:sz w:val="20"/>
          <w:szCs w:val="20"/>
        </w:rPr>
        <w:t xml:space="preserve">01 (um) apartamento n° 401 do bloco "Ilha Bela", também denominado "bloco B", com a vaga de estacionamento n° B14, com finalidade residencial, localizado no quarto pavimento do condomínio denominado "Ilhas do Atlântico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Residence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", situado na Rua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Jordelino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 João da Rosa, bairro Vendaval, Município e Comarca de Biguaçu/SC, com a área privativa de 52,84m², área de uso comum de 10,5294m², totalizando uma área de 63,3694m², matriculado sob o nº 35.833 do C.R.I. de Biguaçu/SC. Obs.: Inscrição imobiliária sob o nº 01.03.018.4268.002.0012. Ônus: Existência da Ação de Execução nº 5003791-70.2020.4.04.7200 que tramita na 2º Vara Federal de Florianópolis/SC; hipotecado em favor da Caixa Econômica Federal – CEF. Avaliado em 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 xml:space="preserve">R$ 300.000,00 (trezentos mil reais). </w:t>
      </w:r>
      <w:r w:rsidRPr="003440C6">
        <w:rPr>
          <w:rFonts w:ascii="Arial" w:eastAsia="Arial" w:hAnsi="Arial" w:cs="Arial"/>
          <w:sz w:val="20"/>
          <w:szCs w:val="20"/>
        </w:rPr>
        <w:t>Total da avaliação</w:t>
      </w:r>
      <w:r w:rsidRPr="003440C6">
        <w:rPr>
          <w:rFonts w:ascii="Arial" w:eastAsia="Arial" w:hAnsi="Arial" w:cs="Arial"/>
          <w:b/>
          <w:bCs/>
          <w:sz w:val="20"/>
          <w:szCs w:val="20"/>
        </w:rPr>
        <w:t xml:space="preserve"> R$ 900.000,00 (novecentos mil reais).</w:t>
      </w:r>
    </w:p>
    <w:p w14:paraId="4A41720B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BC0EB55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431105D4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3440C6">
        <w:rPr>
          <w:rFonts w:ascii="Arial" w:eastAsia="Arial" w:hAnsi="Arial" w:cs="Arial"/>
          <w:sz w:val="20"/>
          <w:szCs w:val="20"/>
        </w:rPr>
        <w:t xml:space="preserve">E, para que chegue ao conhecimento de todos os interessados, é passado o presente edital, que será publicado na forma da lei, no seguinte endereço eletrônico: www.centralsuldeleiloes.com.br. Maiores informações com o Leiloeiro Oficial pelo fone (48) 3437-6115 e/ou pelo endereço: Avenida Luiz </w:t>
      </w:r>
      <w:proofErr w:type="spellStart"/>
      <w:r w:rsidRPr="003440C6">
        <w:rPr>
          <w:rFonts w:ascii="Arial" w:eastAsia="Arial" w:hAnsi="Arial" w:cs="Arial"/>
          <w:sz w:val="20"/>
          <w:szCs w:val="20"/>
        </w:rPr>
        <w:t>Lazzarin</w:t>
      </w:r>
      <w:proofErr w:type="spellEnd"/>
      <w:r w:rsidRPr="003440C6">
        <w:rPr>
          <w:rFonts w:ascii="Arial" w:eastAsia="Arial" w:hAnsi="Arial" w:cs="Arial"/>
          <w:sz w:val="20"/>
          <w:szCs w:val="20"/>
        </w:rPr>
        <w:t xml:space="preserve">, 2.300, Criciúma/SC – site: </w:t>
      </w:r>
      <w:hyperlink r:id="rId8">
        <w:r w:rsidRPr="003440C6">
          <w:rPr>
            <w:rFonts w:ascii="Arial" w:eastAsia="Arial" w:hAnsi="Arial" w:cs="Arial"/>
            <w:b/>
            <w:bCs/>
            <w:color w:val="0563C1"/>
            <w:sz w:val="20"/>
            <w:szCs w:val="20"/>
            <w:u w:val="single"/>
          </w:rPr>
          <w:t>www.centralsuldeleiloes.com.br</w:t>
        </w:r>
      </w:hyperlink>
      <w:r w:rsidRPr="003440C6">
        <w:rPr>
          <w:rFonts w:ascii="Arial" w:eastAsia="Arial" w:hAnsi="Arial" w:cs="Arial"/>
          <w:sz w:val="20"/>
          <w:szCs w:val="20"/>
        </w:rPr>
        <w:t>. Florianópolis, 25 de agosto de 2026.</w:t>
      </w:r>
    </w:p>
    <w:p w14:paraId="7F1969B5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0CF940D7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513923CA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81ED241" w14:textId="77777777" w:rsidR="00663DFC" w:rsidRPr="003440C6" w:rsidRDefault="00663DFC" w:rsidP="00663DFC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7174C13B" w14:textId="77777777" w:rsidR="00663DFC" w:rsidRDefault="00663DFC" w:rsidP="00663DFC">
      <w:pPr>
        <w:spacing w:after="0"/>
        <w:jc w:val="center"/>
        <w:rPr>
          <w:rFonts w:ascii="Bookman Old Style" w:eastAsia="Bookman Old Style" w:hAnsi="Bookman Old Style" w:cs="Bookman Old Style"/>
          <w:b/>
          <w:bCs/>
          <w:sz w:val="24"/>
          <w:szCs w:val="24"/>
        </w:rPr>
      </w:pPr>
      <w:r w:rsidRPr="003440C6">
        <w:rPr>
          <w:rFonts w:ascii="Bookman Old Style" w:eastAsia="Bookman Old Style" w:hAnsi="Bookman Old Style" w:cs="Bookman Old Style"/>
          <w:b/>
          <w:bCs/>
          <w:sz w:val="24"/>
          <w:szCs w:val="24"/>
        </w:rPr>
        <w:t xml:space="preserve">Luan </w:t>
      </w:r>
      <w:proofErr w:type="spellStart"/>
      <w:r w:rsidRPr="003440C6">
        <w:rPr>
          <w:rFonts w:ascii="Bookman Old Style" w:eastAsia="Bookman Old Style" w:hAnsi="Bookman Old Style" w:cs="Bookman Old Style"/>
          <w:b/>
          <w:bCs/>
          <w:sz w:val="24"/>
          <w:szCs w:val="24"/>
        </w:rPr>
        <w:t>Ubialli</w:t>
      </w:r>
      <w:proofErr w:type="spellEnd"/>
    </w:p>
    <w:p w14:paraId="2725E86D" w14:textId="77777777" w:rsidR="00663DFC" w:rsidRDefault="00663DFC" w:rsidP="00663DFC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Leiloeiro Público Oficial</w:t>
      </w:r>
    </w:p>
    <w:p w14:paraId="3E05CCD5" w14:textId="7DE97A86" w:rsidR="00E86C0E" w:rsidRPr="00663DFC" w:rsidRDefault="00663DFC" w:rsidP="00663DFC">
      <w:pPr>
        <w:spacing w:after="0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20"/>
          <w:szCs w:val="20"/>
        </w:rPr>
        <w:t>AARC/383 SC | 476 RS</w:t>
      </w:r>
    </w:p>
    <w:sectPr w:rsidR="00E86C0E" w:rsidRPr="00663DFC">
      <w:headerReference w:type="default" r:id="rId9"/>
      <w:pgSz w:w="11906" w:h="16838"/>
      <w:pgMar w:top="1702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58BAE" w14:textId="77777777" w:rsidR="00536415" w:rsidRDefault="00663DF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13B3B5E" wp14:editId="68615E16">
          <wp:simplePos x="0" y="0"/>
          <wp:positionH relativeFrom="column">
            <wp:posOffset>-1080134</wp:posOffset>
          </wp:positionH>
          <wp:positionV relativeFrom="paragraph">
            <wp:posOffset>-446861</wp:posOffset>
          </wp:positionV>
          <wp:extent cx="7561332" cy="1069647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1332" cy="10696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DFC"/>
    <w:rsid w:val="00663DFC"/>
    <w:rsid w:val="00E8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05A97"/>
  <w15:chartTrackingRefBased/>
  <w15:docId w15:val="{82B38F90-C29F-4874-A35F-8A9E5A24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DFC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ralsuldeleiloes.com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entralsuldeleiloes.com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ntralsuldeleiloes.com.br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entralsuldeleiloes.com.br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entralsuldeleiloes.com.br" TargetMode="Externa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1640</Words>
  <Characters>8857</Characters>
  <Application>Microsoft Office Word</Application>
  <DocSecurity>0</DocSecurity>
  <Lines>73</Lines>
  <Paragraphs>20</Paragraphs>
  <ScaleCrop>false</ScaleCrop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Diego Spillere</dc:creator>
  <cp:keywords/>
  <dc:description/>
  <cp:lastModifiedBy>Gabriel Diego Spillere</cp:lastModifiedBy>
  <cp:revision>1</cp:revision>
  <dcterms:created xsi:type="dcterms:W3CDTF">2026-08-26T16:38:00Z</dcterms:created>
  <dcterms:modified xsi:type="dcterms:W3CDTF">2026-08-26T16:38:00Z</dcterms:modified>
</cp:coreProperties>
</file>